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0C" w:rsidRDefault="00B4360C" w:rsidP="00F54C74">
      <w:pPr>
        <w:kinsoku w:val="0"/>
        <w:autoSpaceDE w:val="0"/>
        <w:autoSpaceDN w:val="0"/>
        <w:ind w:rightChars="300" w:right="765"/>
        <w:jc w:val="center"/>
      </w:pPr>
      <w:r w:rsidRPr="00652AA7">
        <w:rPr>
          <w:rFonts w:hint="eastAsia"/>
        </w:rPr>
        <w:t>埼玉西部消防組合建設工事</w:t>
      </w:r>
      <w:r w:rsidR="004F73A8" w:rsidRPr="00652AA7">
        <w:rPr>
          <w:rFonts w:hint="eastAsia"/>
        </w:rPr>
        <w:t>競争入札参加資格者</w:t>
      </w:r>
      <w:r w:rsidRPr="00652AA7">
        <w:rPr>
          <w:rFonts w:hint="eastAsia"/>
        </w:rPr>
        <w:t>格付基準</w:t>
      </w:r>
    </w:p>
    <w:p w:rsidR="00F54C74" w:rsidRPr="00652AA7" w:rsidRDefault="00F54C74" w:rsidP="00F54C74">
      <w:pPr>
        <w:kinsoku w:val="0"/>
        <w:autoSpaceDE w:val="0"/>
        <w:autoSpaceDN w:val="0"/>
        <w:ind w:rightChars="300" w:right="765"/>
        <w:jc w:val="right"/>
      </w:pPr>
      <w:r>
        <w:rPr>
          <w:rFonts w:hint="eastAsia"/>
        </w:rPr>
        <w:t>（平成３１年４月１日施行）</w:t>
      </w:r>
    </w:p>
    <w:p w:rsidR="00B4360C" w:rsidRPr="00652AA7" w:rsidRDefault="00B4360C" w:rsidP="00BB229F">
      <w:pPr>
        <w:kinsoku w:val="0"/>
        <w:autoSpaceDE w:val="0"/>
        <w:autoSpaceDN w:val="0"/>
        <w:jc w:val="right"/>
        <w:rPr>
          <w:szCs w:val="22"/>
        </w:rPr>
      </w:pPr>
    </w:p>
    <w:p w:rsidR="0083275B" w:rsidRPr="00652AA7" w:rsidRDefault="00B4360C" w:rsidP="00BB229F">
      <w:pPr>
        <w:kinsoku w:val="0"/>
        <w:autoSpaceDE w:val="0"/>
        <w:autoSpaceDN w:val="0"/>
        <w:ind w:left="255" w:hangingChars="100" w:hanging="255"/>
      </w:pPr>
      <w:r w:rsidRPr="00652AA7">
        <w:rPr>
          <w:rFonts w:hint="eastAsia"/>
        </w:rPr>
        <w:t>第１</w:t>
      </w:r>
      <w:r w:rsidR="0083275B" w:rsidRPr="00652AA7">
        <w:rPr>
          <w:rFonts w:hint="eastAsia"/>
        </w:rPr>
        <w:t xml:space="preserve">　趣旨</w:t>
      </w:r>
      <w:bookmarkStart w:id="0" w:name="_GoBack"/>
      <w:bookmarkEnd w:id="0"/>
    </w:p>
    <w:p w:rsidR="00B4360C" w:rsidRPr="00652AA7" w:rsidRDefault="00B4360C" w:rsidP="0083275B">
      <w:pPr>
        <w:kinsoku w:val="0"/>
        <w:autoSpaceDE w:val="0"/>
        <w:autoSpaceDN w:val="0"/>
        <w:ind w:leftChars="100" w:left="255" w:firstLineChars="100" w:firstLine="255"/>
      </w:pPr>
      <w:r w:rsidRPr="00652AA7">
        <w:rPr>
          <w:rFonts w:hint="eastAsia"/>
        </w:rPr>
        <w:t>この基準は、埼玉西部消防組合建設工事請負等競争入札参加者の資格等に関する要綱（平成２７年告示第１号。以下「要綱」という。）第８条第１項の規定に基づ</w:t>
      </w:r>
      <w:r w:rsidR="00314A75" w:rsidRPr="00652AA7">
        <w:rPr>
          <w:rFonts w:hint="eastAsia"/>
        </w:rPr>
        <w:t>き</w:t>
      </w:r>
      <w:r w:rsidR="00BB229F" w:rsidRPr="00652AA7">
        <w:rPr>
          <w:rFonts w:hint="eastAsia"/>
        </w:rPr>
        <w:t>管理者が建設工事の請負について行う</w:t>
      </w:r>
      <w:r w:rsidRPr="00652AA7">
        <w:rPr>
          <w:rFonts w:hint="eastAsia"/>
        </w:rPr>
        <w:t>格付に</w:t>
      </w:r>
      <w:r w:rsidR="00BB229F" w:rsidRPr="00652AA7">
        <w:rPr>
          <w:rFonts w:hint="eastAsia"/>
        </w:rPr>
        <w:t>ついて</w:t>
      </w:r>
      <w:r w:rsidR="00314A75" w:rsidRPr="00652AA7">
        <w:rPr>
          <w:rFonts w:hint="eastAsia"/>
        </w:rPr>
        <w:t>、</w:t>
      </w:r>
      <w:r w:rsidRPr="00652AA7">
        <w:rPr>
          <w:rFonts w:hint="eastAsia"/>
        </w:rPr>
        <w:t>必要な事項を定めるものとする。</w:t>
      </w:r>
    </w:p>
    <w:p w:rsidR="0083275B" w:rsidRPr="00652AA7" w:rsidRDefault="0083275B" w:rsidP="00BB229F">
      <w:pPr>
        <w:kinsoku w:val="0"/>
        <w:autoSpaceDE w:val="0"/>
        <w:autoSpaceDN w:val="0"/>
        <w:ind w:left="255" w:hangingChars="100" w:hanging="255"/>
      </w:pPr>
    </w:p>
    <w:p w:rsidR="00B4360C" w:rsidRPr="00652AA7" w:rsidRDefault="0083275B" w:rsidP="00BB229F">
      <w:pPr>
        <w:kinsoku w:val="0"/>
        <w:autoSpaceDE w:val="0"/>
        <w:autoSpaceDN w:val="0"/>
        <w:ind w:left="255" w:hangingChars="100" w:hanging="255"/>
      </w:pPr>
      <w:r w:rsidRPr="00652AA7">
        <w:rPr>
          <w:rFonts w:hint="eastAsia"/>
        </w:rPr>
        <w:t xml:space="preserve">第２　</w:t>
      </w:r>
      <w:r w:rsidR="00B4360C" w:rsidRPr="00652AA7">
        <w:rPr>
          <w:rFonts w:hint="eastAsia"/>
        </w:rPr>
        <w:t>格付</w:t>
      </w:r>
      <w:r w:rsidR="002C2F3F" w:rsidRPr="00652AA7">
        <w:rPr>
          <w:rFonts w:hint="eastAsia"/>
        </w:rPr>
        <w:t>の方法</w:t>
      </w:r>
    </w:p>
    <w:p w:rsidR="00B4360C" w:rsidRPr="00652AA7" w:rsidRDefault="00B4360C" w:rsidP="0083275B">
      <w:pPr>
        <w:kinsoku w:val="0"/>
        <w:autoSpaceDE w:val="0"/>
        <w:autoSpaceDN w:val="0"/>
        <w:ind w:leftChars="100" w:left="255" w:firstLineChars="100" w:firstLine="255"/>
      </w:pPr>
      <w:r w:rsidRPr="00652AA7">
        <w:rPr>
          <w:rFonts w:hint="eastAsia"/>
        </w:rPr>
        <w:t>管理者は、客</w:t>
      </w:r>
      <w:r w:rsidR="002C2F3F" w:rsidRPr="00652AA7">
        <w:rPr>
          <w:rFonts w:hint="eastAsia"/>
        </w:rPr>
        <w:t>観的事項と主観的事項をもって、次の算式により数値化した格付点数により、</w:t>
      </w:r>
      <w:r w:rsidR="000127EB" w:rsidRPr="00652AA7">
        <w:rPr>
          <w:rFonts w:hint="eastAsia"/>
        </w:rPr>
        <w:t>下表</w:t>
      </w:r>
      <w:r w:rsidR="002C2F3F" w:rsidRPr="00652AA7">
        <w:rPr>
          <w:rFonts w:hint="eastAsia"/>
        </w:rPr>
        <w:t>の区分に従って</w:t>
      </w:r>
      <w:r w:rsidRPr="00652AA7">
        <w:rPr>
          <w:rFonts w:hint="eastAsia"/>
        </w:rPr>
        <w:t>業種ごとに</w:t>
      </w:r>
      <w:r w:rsidR="002C2F3F" w:rsidRPr="00652AA7">
        <w:rPr>
          <w:rFonts w:hint="eastAsia"/>
        </w:rPr>
        <w:t>格付を</w:t>
      </w:r>
      <w:r w:rsidRPr="00652AA7">
        <w:rPr>
          <w:rFonts w:hint="eastAsia"/>
        </w:rPr>
        <w:t>行うものとする。</w:t>
      </w:r>
    </w:p>
    <w:p w:rsidR="00B4360C" w:rsidRPr="00652AA7" w:rsidRDefault="00B4360C" w:rsidP="0083275B">
      <w:pPr>
        <w:kinsoku w:val="0"/>
        <w:autoSpaceDE w:val="0"/>
        <w:autoSpaceDN w:val="0"/>
        <w:ind w:leftChars="100" w:left="255" w:firstLineChars="100" w:firstLine="255"/>
      </w:pPr>
      <w:r w:rsidRPr="00652AA7">
        <w:rPr>
          <w:rFonts w:hint="eastAsia"/>
        </w:rPr>
        <w:t>客観的事項の数値＋主観的事項の数値＝格付点数</w:t>
      </w:r>
    </w:p>
    <w:tbl>
      <w:tblPr>
        <w:tblStyle w:val="af0"/>
        <w:tblW w:w="9214" w:type="dxa"/>
        <w:tblInd w:w="108" w:type="dxa"/>
        <w:tblLook w:val="04A0" w:firstRow="1" w:lastRow="0" w:firstColumn="1" w:lastColumn="0" w:noHBand="0" w:noVBand="1"/>
      </w:tblPr>
      <w:tblGrid>
        <w:gridCol w:w="851"/>
        <w:gridCol w:w="1843"/>
        <w:gridCol w:w="1842"/>
        <w:gridCol w:w="1418"/>
        <w:gridCol w:w="1417"/>
        <w:gridCol w:w="1843"/>
      </w:tblGrid>
      <w:tr w:rsidR="00652AA7" w:rsidRPr="00652AA7" w:rsidTr="000127EB">
        <w:trPr>
          <w:trHeight w:val="540"/>
        </w:trPr>
        <w:tc>
          <w:tcPr>
            <w:tcW w:w="851" w:type="dxa"/>
            <w:noWrap/>
            <w:hideMark/>
          </w:tcPr>
          <w:p w:rsidR="000127EB" w:rsidRPr="00652AA7" w:rsidRDefault="000127EB" w:rsidP="0083275B">
            <w:pPr>
              <w:kinsoku w:val="0"/>
              <w:autoSpaceDE w:val="0"/>
              <w:autoSpaceDN w:val="0"/>
            </w:pPr>
          </w:p>
        </w:tc>
        <w:tc>
          <w:tcPr>
            <w:tcW w:w="1843" w:type="dxa"/>
            <w:noWrap/>
            <w:hideMark/>
          </w:tcPr>
          <w:p w:rsidR="000127EB" w:rsidRPr="00652AA7" w:rsidRDefault="000127EB" w:rsidP="00804766">
            <w:pPr>
              <w:kinsoku w:val="0"/>
              <w:autoSpaceDE w:val="0"/>
              <w:autoSpaceDN w:val="0"/>
            </w:pPr>
            <w:r w:rsidRPr="00652AA7">
              <w:rPr>
                <w:rFonts w:hint="eastAsia"/>
              </w:rPr>
              <w:t>土木一式工事</w:t>
            </w:r>
          </w:p>
        </w:tc>
        <w:tc>
          <w:tcPr>
            <w:tcW w:w="1842" w:type="dxa"/>
            <w:noWrap/>
            <w:hideMark/>
          </w:tcPr>
          <w:p w:rsidR="000127EB" w:rsidRPr="00652AA7" w:rsidRDefault="000127EB" w:rsidP="00804766">
            <w:pPr>
              <w:kinsoku w:val="0"/>
              <w:autoSpaceDE w:val="0"/>
              <w:autoSpaceDN w:val="0"/>
            </w:pPr>
            <w:r w:rsidRPr="00652AA7">
              <w:rPr>
                <w:rFonts w:hint="eastAsia"/>
              </w:rPr>
              <w:t>建築一式工事</w:t>
            </w:r>
          </w:p>
        </w:tc>
        <w:tc>
          <w:tcPr>
            <w:tcW w:w="1418" w:type="dxa"/>
            <w:noWrap/>
            <w:hideMark/>
          </w:tcPr>
          <w:p w:rsidR="000127EB" w:rsidRPr="00652AA7" w:rsidRDefault="000127EB" w:rsidP="00804766">
            <w:pPr>
              <w:kinsoku w:val="0"/>
              <w:autoSpaceDE w:val="0"/>
              <w:autoSpaceDN w:val="0"/>
            </w:pPr>
            <w:r w:rsidRPr="00652AA7">
              <w:rPr>
                <w:rFonts w:hint="eastAsia"/>
              </w:rPr>
              <w:t>電気工事</w:t>
            </w:r>
          </w:p>
        </w:tc>
        <w:tc>
          <w:tcPr>
            <w:tcW w:w="1417" w:type="dxa"/>
            <w:noWrap/>
            <w:hideMark/>
          </w:tcPr>
          <w:p w:rsidR="000127EB" w:rsidRPr="00652AA7" w:rsidRDefault="000127EB" w:rsidP="00804766">
            <w:pPr>
              <w:kinsoku w:val="0"/>
              <w:autoSpaceDE w:val="0"/>
              <w:autoSpaceDN w:val="0"/>
            </w:pPr>
            <w:r w:rsidRPr="00652AA7">
              <w:rPr>
                <w:rFonts w:hint="eastAsia"/>
              </w:rPr>
              <w:t>管工事</w:t>
            </w:r>
          </w:p>
        </w:tc>
        <w:tc>
          <w:tcPr>
            <w:tcW w:w="1843" w:type="dxa"/>
            <w:hideMark/>
          </w:tcPr>
          <w:p w:rsidR="000127EB" w:rsidRPr="00652AA7" w:rsidRDefault="000127EB" w:rsidP="000127EB">
            <w:pPr>
              <w:kinsoku w:val="0"/>
            </w:pPr>
            <w:r w:rsidRPr="00652AA7">
              <w:rPr>
                <w:rFonts w:hint="eastAsia"/>
              </w:rPr>
              <w:t>その他の建設工事</w:t>
            </w:r>
          </w:p>
        </w:tc>
      </w:tr>
      <w:tr w:rsidR="00652AA7" w:rsidRPr="00652AA7" w:rsidTr="000127EB">
        <w:trPr>
          <w:trHeight w:val="193"/>
        </w:trPr>
        <w:tc>
          <w:tcPr>
            <w:tcW w:w="851" w:type="dxa"/>
            <w:noWrap/>
            <w:hideMark/>
          </w:tcPr>
          <w:p w:rsidR="000127EB" w:rsidRPr="00652AA7" w:rsidRDefault="000127EB" w:rsidP="00804766">
            <w:pPr>
              <w:kinsoku w:val="0"/>
              <w:autoSpaceDE w:val="0"/>
              <w:autoSpaceDN w:val="0"/>
            </w:pPr>
            <w:r w:rsidRPr="00652AA7">
              <w:rPr>
                <w:rFonts w:hint="eastAsia"/>
              </w:rPr>
              <w:t>Ａ級</w:t>
            </w:r>
          </w:p>
        </w:tc>
        <w:tc>
          <w:tcPr>
            <w:tcW w:w="1843" w:type="dxa"/>
            <w:noWrap/>
            <w:hideMark/>
          </w:tcPr>
          <w:p w:rsidR="000127EB" w:rsidRPr="00652AA7" w:rsidRDefault="0040779C" w:rsidP="00DB6BC0">
            <w:pPr>
              <w:kinsoku w:val="0"/>
            </w:pPr>
            <w:r w:rsidRPr="00652AA7">
              <w:rPr>
                <w:rFonts w:hint="eastAsia"/>
              </w:rPr>
              <w:t>8</w:t>
            </w:r>
            <w:r w:rsidR="00DB6BC0" w:rsidRPr="00652AA7">
              <w:rPr>
                <w:rFonts w:hint="eastAsia"/>
              </w:rPr>
              <w:t>5</w:t>
            </w:r>
            <w:r w:rsidRPr="00652AA7">
              <w:rPr>
                <w:rFonts w:hint="eastAsia"/>
              </w:rPr>
              <w:t>0点以上</w:t>
            </w:r>
          </w:p>
        </w:tc>
        <w:tc>
          <w:tcPr>
            <w:tcW w:w="1842" w:type="dxa"/>
            <w:noWrap/>
            <w:hideMark/>
          </w:tcPr>
          <w:p w:rsidR="000127EB" w:rsidRPr="00652AA7" w:rsidRDefault="0040779C" w:rsidP="005D4017">
            <w:pPr>
              <w:kinsoku w:val="0"/>
              <w:autoSpaceDE w:val="0"/>
              <w:autoSpaceDN w:val="0"/>
            </w:pPr>
            <w:r w:rsidRPr="00652AA7">
              <w:rPr>
                <w:rFonts w:hint="eastAsia"/>
              </w:rPr>
              <w:t>8</w:t>
            </w:r>
            <w:r w:rsidR="005D4017" w:rsidRPr="00652AA7">
              <w:rPr>
                <w:rFonts w:hint="eastAsia"/>
              </w:rPr>
              <w:t>5</w:t>
            </w:r>
            <w:r w:rsidRPr="00652AA7">
              <w:rPr>
                <w:rFonts w:hint="eastAsia"/>
              </w:rPr>
              <w:t>0</w:t>
            </w:r>
            <w:r w:rsidR="000127EB" w:rsidRPr="00652AA7">
              <w:rPr>
                <w:rFonts w:hint="eastAsia"/>
              </w:rPr>
              <w:t>点以上</w:t>
            </w:r>
          </w:p>
        </w:tc>
        <w:tc>
          <w:tcPr>
            <w:tcW w:w="1418" w:type="dxa"/>
            <w:noWrap/>
            <w:hideMark/>
          </w:tcPr>
          <w:p w:rsidR="000127EB" w:rsidRPr="00652AA7" w:rsidRDefault="0040779C" w:rsidP="005D4017">
            <w:pPr>
              <w:kinsoku w:val="0"/>
              <w:autoSpaceDE w:val="0"/>
              <w:autoSpaceDN w:val="0"/>
            </w:pPr>
            <w:r w:rsidRPr="00652AA7">
              <w:rPr>
                <w:rFonts w:hint="eastAsia"/>
              </w:rPr>
              <w:t>8</w:t>
            </w:r>
            <w:r w:rsidR="005D4017" w:rsidRPr="00652AA7">
              <w:rPr>
                <w:rFonts w:hint="eastAsia"/>
              </w:rPr>
              <w:t>5</w:t>
            </w:r>
            <w:r w:rsidRPr="00652AA7">
              <w:rPr>
                <w:rFonts w:hint="eastAsia"/>
              </w:rPr>
              <w:t>0</w:t>
            </w:r>
            <w:r w:rsidR="000127EB" w:rsidRPr="00652AA7">
              <w:rPr>
                <w:rFonts w:hint="eastAsia"/>
              </w:rPr>
              <w:t>点以上</w:t>
            </w:r>
          </w:p>
        </w:tc>
        <w:tc>
          <w:tcPr>
            <w:tcW w:w="1417" w:type="dxa"/>
            <w:noWrap/>
            <w:hideMark/>
          </w:tcPr>
          <w:p w:rsidR="000127EB" w:rsidRPr="00652AA7" w:rsidRDefault="0040779C" w:rsidP="00962BE8">
            <w:pPr>
              <w:kinsoku w:val="0"/>
              <w:autoSpaceDE w:val="0"/>
              <w:autoSpaceDN w:val="0"/>
            </w:pPr>
            <w:r w:rsidRPr="00652AA7">
              <w:rPr>
                <w:rFonts w:hint="eastAsia"/>
              </w:rPr>
              <w:t>8</w:t>
            </w:r>
            <w:r w:rsidR="00962BE8" w:rsidRPr="00652AA7">
              <w:rPr>
                <w:rFonts w:hint="eastAsia"/>
              </w:rPr>
              <w:t>0</w:t>
            </w:r>
            <w:r w:rsidRPr="00652AA7">
              <w:rPr>
                <w:rFonts w:hint="eastAsia"/>
              </w:rPr>
              <w:t>0</w:t>
            </w:r>
            <w:r w:rsidR="000127EB" w:rsidRPr="00652AA7">
              <w:rPr>
                <w:rFonts w:hint="eastAsia"/>
              </w:rPr>
              <w:t>点以上</w:t>
            </w:r>
          </w:p>
        </w:tc>
        <w:tc>
          <w:tcPr>
            <w:tcW w:w="1843" w:type="dxa"/>
            <w:hideMark/>
          </w:tcPr>
          <w:p w:rsidR="000127EB" w:rsidRPr="00652AA7" w:rsidRDefault="0040779C" w:rsidP="00804766">
            <w:pPr>
              <w:kinsoku w:val="0"/>
              <w:autoSpaceDE w:val="0"/>
              <w:autoSpaceDN w:val="0"/>
            </w:pPr>
            <w:r w:rsidRPr="00652AA7">
              <w:rPr>
                <w:rFonts w:hint="eastAsia"/>
              </w:rPr>
              <w:t>800</w:t>
            </w:r>
            <w:r w:rsidR="000127EB" w:rsidRPr="00652AA7">
              <w:rPr>
                <w:rFonts w:hint="eastAsia"/>
              </w:rPr>
              <w:t>点以上</w:t>
            </w:r>
          </w:p>
        </w:tc>
      </w:tr>
      <w:tr w:rsidR="00652AA7" w:rsidRPr="00652AA7" w:rsidTr="000127EB">
        <w:trPr>
          <w:trHeight w:val="597"/>
        </w:trPr>
        <w:tc>
          <w:tcPr>
            <w:tcW w:w="851" w:type="dxa"/>
            <w:noWrap/>
            <w:hideMark/>
          </w:tcPr>
          <w:p w:rsidR="000127EB" w:rsidRPr="00652AA7" w:rsidRDefault="000127EB" w:rsidP="00804766">
            <w:pPr>
              <w:kinsoku w:val="0"/>
              <w:autoSpaceDE w:val="0"/>
              <w:autoSpaceDN w:val="0"/>
            </w:pPr>
            <w:r w:rsidRPr="00652AA7">
              <w:rPr>
                <w:rFonts w:hint="eastAsia"/>
              </w:rPr>
              <w:t>Ｂ級</w:t>
            </w:r>
          </w:p>
        </w:tc>
        <w:tc>
          <w:tcPr>
            <w:tcW w:w="1843" w:type="dxa"/>
            <w:noWrap/>
            <w:hideMark/>
          </w:tcPr>
          <w:p w:rsidR="000127EB" w:rsidRPr="00652AA7" w:rsidRDefault="000127EB" w:rsidP="00804766">
            <w:pPr>
              <w:kinsoku w:val="0"/>
              <w:autoSpaceDE w:val="0"/>
              <w:autoSpaceDN w:val="0"/>
            </w:pPr>
            <w:r w:rsidRPr="00652AA7">
              <w:rPr>
                <w:rFonts w:hint="eastAsia"/>
              </w:rPr>
              <w:t>7</w:t>
            </w:r>
            <w:r w:rsidR="00DB6BC0" w:rsidRPr="00652AA7">
              <w:rPr>
                <w:rFonts w:hint="eastAsia"/>
              </w:rPr>
              <w:t>5</w:t>
            </w:r>
            <w:r w:rsidRPr="00652AA7">
              <w:rPr>
                <w:rFonts w:hint="eastAsia"/>
              </w:rPr>
              <w:t>0点以上</w:t>
            </w:r>
          </w:p>
          <w:p w:rsidR="000127EB" w:rsidRPr="00652AA7" w:rsidRDefault="0040779C" w:rsidP="00DB6BC0">
            <w:pPr>
              <w:kinsoku w:val="0"/>
              <w:autoSpaceDE w:val="0"/>
              <w:autoSpaceDN w:val="0"/>
            </w:pPr>
            <w:r w:rsidRPr="00652AA7">
              <w:rPr>
                <w:rFonts w:hint="eastAsia"/>
              </w:rPr>
              <w:t>8</w:t>
            </w:r>
            <w:r w:rsidR="00DB6BC0" w:rsidRPr="00652AA7">
              <w:rPr>
                <w:rFonts w:hint="eastAsia"/>
              </w:rPr>
              <w:t>5</w:t>
            </w:r>
            <w:r w:rsidRPr="00652AA7">
              <w:rPr>
                <w:rFonts w:hint="eastAsia"/>
              </w:rPr>
              <w:t>0</w:t>
            </w:r>
            <w:r w:rsidR="000127EB" w:rsidRPr="00652AA7">
              <w:rPr>
                <w:rFonts w:hint="eastAsia"/>
              </w:rPr>
              <w:t>点未満</w:t>
            </w:r>
          </w:p>
        </w:tc>
        <w:tc>
          <w:tcPr>
            <w:tcW w:w="1842" w:type="dxa"/>
            <w:noWrap/>
            <w:hideMark/>
          </w:tcPr>
          <w:p w:rsidR="000127EB" w:rsidRPr="00652AA7" w:rsidRDefault="000127EB" w:rsidP="00804766">
            <w:pPr>
              <w:kinsoku w:val="0"/>
              <w:autoSpaceDE w:val="0"/>
              <w:autoSpaceDN w:val="0"/>
            </w:pPr>
            <w:r w:rsidRPr="00652AA7">
              <w:rPr>
                <w:rFonts w:hint="eastAsia"/>
              </w:rPr>
              <w:t>7</w:t>
            </w:r>
            <w:r w:rsidR="005D4017" w:rsidRPr="00652AA7">
              <w:rPr>
                <w:rFonts w:hint="eastAsia"/>
              </w:rPr>
              <w:t>5</w:t>
            </w:r>
            <w:r w:rsidRPr="00652AA7">
              <w:rPr>
                <w:rFonts w:hint="eastAsia"/>
              </w:rPr>
              <w:t>0点以上</w:t>
            </w:r>
          </w:p>
          <w:p w:rsidR="000127EB" w:rsidRPr="00652AA7" w:rsidRDefault="0040779C" w:rsidP="005D4017">
            <w:pPr>
              <w:kinsoku w:val="0"/>
              <w:autoSpaceDE w:val="0"/>
              <w:autoSpaceDN w:val="0"/>
            </w:pPr>
            <w:r w:rsidRPr="00652AA7">
              <w:rPr>
                <w:rFonts w:hint="eastAsia"/>
              </w:rPr>
              <w:t>8</w:t>
            </w:r>
            <w:r w:rsidR="005D4017" w:rsidRPr="00652AA7">
              <w:rPr>
                <w:rFonts w:hint="eastAsia"/>
              </w:rPr>
              <w:t>5</w:t>
            </w:r>
            <w:r w:rsidRPr="00652AA7">
              <w:rPr>
                <w:rFonts w:hint="eastAsia"/>
              </w:rPr>
              <w:t>0</w:t>
            </w:r>
            <w:r w:rsidR="000127EB" w:rsidRPr="00652AA7">
              <w:rPr>
                <w:rFonts w:hint="eastAsia"/>
              </w:rPr>
              <w:t>点未満</w:t>
            </w:r>
          </w:p>
        </w:tc>
        <w:tc>
          <w:tcPr>
            <w:tcW w:w="1418" w:type="dxa"/>
            <w:noWrap/>
            <w:hideMark/>
          </w:tcPr>
          <w:p w:rsidR="000127EB" w:rsidRPr="00652AA7" w:rsidRDefault="000127EB" w:rsidP="00804766">
            <w:pPr>
              <w:kinsoku w:val="0"/>
              <w:autoSpaceDE w:val="0"/>
              <w:autoSpaceDN w:val="0"/>
            </w:pPr>
            <w:r w:rsidRPr="00652AA7">
              <w:rPr>
                <w:rFonts w:hint="eastAsia"/>
              </w:rPr>
              <w:t>7</w:t>
            </w:r>
            <w:r w:rsidR="005D4017" w:rsidRPr="00652AA7">
              <w:rPr>
                <w:rFonts w:hint="eastAsia"/>
              </w:rPr>
              <w:t>5</w:t>
            </w:r>
            <w:r w:rsidRPr="00652AA7">
              <w:rPr>
                <w:rFonts w:hint="eastAsia"/>
              </w:rPr>
              <w:t>0点以上</w:t>
            </w:r>
          </w:p>
          <w:p w:rsidR="000127EB" w:rsidRPr="00652AA7" w:rsidRDefault="0040779C" w:rsidP="005D4017">
            <w:pPr>
              <w:kinsoku w:val="0"/>
              <w:autoSpaceDE w:val="0"/>
              <w:autoSpaceDN w:val="0"/>
            </w:pPr>
            <w:r w:rsidRPr="00652AA7">
              <w:rPr>
                <w:rFonts w:hint="eastAsia"/>
              </w:rPr>
              <w:t>8</w:t>
            </w:r>
            <w:r w:rsidR="005D4017" w:rsidRPr="00652AA7">
              <w:rPr>
                <w:rFonts w:hint="eastAsia"/>
              </w:rPr>
              <w:t>5</w:t>
            </w:r>
            <w:r w:rsidRPr="00652AA7">
              <w:rPr>
                <w:rFonts w:hint="eastAsia"/>
              </w:rPr>
              <w:t>0</w:t>
            </w:r>
            <w:r w:rsidR="000127EB" w:rsidRPr="00652AA7">
              <w:rPr>
                <w:rFonts w:hint="eastAsia"/>
              </w:rPr>
              <w:t>点未満</w:t>
            </w:r>
          </w:p>
        </w:tc>
        <w:tc>
          <w:tcPr>
            <w:tcW w:w="1417" w:type="dxa"/>
            <w:noWrap/>
            <w:hideMark/>
          </w:tcPr>
          <w:p w:rsidR="000127EB" w:rsidRPr="00652AA7" w:rsidRDefault="000127EB" w:rsidP="00804766">
            <w:pPr>
              <w:kinsoku w:val="0"/>
              <w:autoSpaceDE w:val="0"/>
              <w:autoSpaceDN w:val="0"/>
            </w:pPr>
            <w:r w:rsidRPr="00652AA7">
              <w:rPr>
                <w:rFonts w:hint="eastAsia"/>
              </w:rPr>
              <w:t>7</w:t>
            </w:r>
            <w:r w:rsidR="00962BE8" w:rsidRPr="00652AA7">
              <w:rPr>
                <w:rFonts w:hint="eastAsia"/>
              </w:rPr>
              <w:t>0</w:t>
            </w:r>
            <w:r w:rsidRPr="00652AA7">
              <w:rPr>
                <w:rFonts w:hint="eastAsia"/>
              </w:rPr>
              <w:t>0点以上</w:t>
            </w:r>
          </w:p>
          <w:p w:rsidR="000127EB" w:rsidRPr="00652AA7" w:rsidRDefault="0040779C" w:rsidP="00962BE8">
            <w:pPr>
              <w:kinsoku w:val="0"/>
              <w:autoSpaceDE w:val="0"/>
              <w:autoSpaceDN w:val="0"/>
            </w:pPr>
            <w:r w:rsidRPr="00652AA7">
              <w:rPr>
                <w:rFonts w:hint="eastAsia"/>
              </w:rPr>
              <w:t>8</w:t>
            </w:r>
            <w:r w:rsidR="00962BE8" w:rsidRPr="00652AA7">
              <w:rPr>
                <w:rFonts w:hint="eastAsia"/>
              </w:rPr>
              <w:t>0</w:t>
            </w:r>
            <w:r w:rsidRPr="00652AA7">
              <w:rPr>
                <w:rFonts w:hint="eastAsia"/>
              </w:rPr>
              <w:t>0</w:t>
            </w:r>
            <w:r w:rsidR="000127EB" w:rsidRPr="00652AA7">
              <w:rPr>
                <w:rFonts w:hint="eastAsia"/>
              </w:rPr>
              <w:t>点未満</w:t>
            </w:r>
          </w:p>
        </w:tc>
        <w:tc>
          <w:tcPr>
            <w:tcW w:w="1843" w:type="dxa"/>
            <w:noWrap/>
            <w:hideMark/>
          </w:tcPr>
          <w:p w:rsidR="000127EB" w:rsidRPr="00652AA7" w:rsidRDefault="000127EB" w:rsidP="00804766">
            <w:pPr>
              <w:kinsoku w:val="0"/>
              <w:autoSpaceDE w:val="0"/>
              <w:autoSpaceDN w:val="0"/>
            </w:pPr>
            <w:r w:rsidRPr="00652AA7">
              <w:rPr>
                <w:rFonts w:hint="eastAsia"/>
              </w:rPr>
              <w:t>700点以上</w:t>
            </w:r>
          </w:p>
          <w:p w:rsidR="000127EB" w:rsidRPr="00652AA7" w:rsidRDefault="0040779C" w:rsidP="00804766">
            <w:pPr>
              <w:kinsoku w:val="0"/>
              <w:autoSpaceDE w:val="0"/>
              <w:autoSpaceDN w:val="0"/>
            </w:pPr>
            <w:r w:rsidRPr="00652AA7">
              <w:rPr>
                <w:rFonts w:hint="eastAsia"/>
              </w:rPr>
              <w:t>800</w:t>
            </w:r>
            <w:r w:rsidR="000127EB" w:rsidRPr="00652AA7">
              <w:rPr>
                <w:rFonts w:hint="eastAsia"/>
              </w:rPr>
              <w:t>点未満</w:t>
            </w:r>
          </w:p>
        </w:tc>
      </w:tr>
      <w:tr w:rsidR="00652AA7" w:rsidRPr="00652AA7" w:rsidTr="000127EB">
        <w:trPr>
          <w:trHeight w:val="696"/>
        </w:trPr>
        <w:tc>
          <w:tcPr>
            <w:tcW w:w="851" w:type="dxa"/>
            <w:noWrap/>
            <w:hideMark/>
          </w:tcPr>
          <w:p w:rsidR="000127EB" w:rsidRPr="00652AA7" w:rsidRDefault="000127EB" w:rsidP="00804766">
            <w:pPr>
              <w:kinsoku w:val="0"/>
              <w:autoSpaceDE w:val="0"/>
              <w:autoSpaceDN w:val="0"/>
            </w:pPr>
            <w:r w:rsidRPr="00652AA7">
              <w:rPr>
                <w:rFonts w:hint="eastAsia"/>
              </w:rPr>
              <w:t>Ｃ級</w:t>
            </w:r>
          </w:p>
        </w:tc>
        <w:tc>
          <w:tcPr>
            <w:tcW w:w="1843" w:type="dxa"/>
            <w:noWrap/>
            <w:hideMark/>
          </w:tcPr>
          <w:p w:rsidR="000127EB" w:rsidRPr="00652AA7" w:rsidRDefault="0040779C" w:rsidP="00804766">
            <w:pPr>
              <w:kinsoku w:val="0"/>
              <w:autoSpaceDE w:val="0"/>
              <w:autoSpaceDN w:val="0"/>
            </w:pPr>
            <w:r w:rsidRPr="00652AA7">
              <w:rPr>
                <w:rFonts w:hint="eastAsia"/>
              </w:rPr>
              <w:t>6</w:t>
            </w:r>
            <w:r w:rsidR="00DB6BC0" w:rsidRPr="00652AA7">
              <w:rPr>
                <w:rFonts w:hint="eastAsia"/>
              </w:rPr>
              <w:t>5</w:t>
            </w:r>
            <w:r w:rsidRPr="00652AA7">
              <w:rPr>
                <w:rFonts w:hint="eastAsia"/>
              </w:rPr>
              <w:t>0</w:t>
            </w:r>
            <w:r w:rsidR="000127EB" w:rsidRPr="00652AA7">
              <w:rPr>
                <w:rFonts w:hint="eastAsia"/>
              </w:rPr>
              <w:t>点以上</w:t>
            </w:r>
          </w:p>
          <w:p w:rsidR="000127EB" w:rsidRPr="00652AA7" w:rsidRDefault="000127EB" w:rsidP="00DB6BC0">
            <w:pPr>
              <w:kinsoku w:val="0"/>
              <w:autoSpaceDE w:val="0"/>
              <w:autoSpaceDN w:val="0"/>
            </w:pPr>
            <w:r w:rsidRPr="00652AA7">
              <w:rPr>
                <w:rFonts w:hint="eastAsia"/>
              </w:rPr>
              <w:t>7</w:t>
            </w:r>
            <w:r w:rsidR="00DB6BC0" w:rsidRPr="00652AA7">
              <w:rPr>
                <w:rFonts w:hint="eastAsia"/>
              </w:rPr>
              <w:t>5</w:t>
            </w:r>
            <w:r w:rsidRPr="00652AA7">
              <w:rPr>
                <w:rFonts w:hint="eastAsia"/>
              </w:rPr>
              <w:t>0点未満</w:t>
            </w:r>
          </w:p>
        </w:tc>
        <w:tc>
          <w:tcPr>
            <w:tcW w:w="1842" w:type="dxa"/>
            <w:noWrap/>
            <w:hideMark/>
          </w:tcPr>
          <w:p w:rsidR="000127EB" w:rsidRPr="00652AA7" w:rsidRDefault="0040779C" w:rsidP="00804766">
            <w:pPr>
              <w:kinsoku w:val="0"/>
              <w:autoSpaceDE w:val="0"/>
              <w:autoSpaceDN w:val="0"/>
            </w:pPr>
            <w:r w:rsidRPr="00652AA7">
              <w:rPr>
                <w:rFonts w:hint="eastAsia"/>
              </w:rPr>
              <w:t>6</w:t>
            </w:r>
            <w:r w:rsidR="005D4017" w:rsidRPr="00652AA7">
              <w:rPr>
                <w:rFonts w:hint="eastAsia"/>
              </w:rPr>
              <w:t>5</w:t>
            </w:r>
            <w:r w:rsidRPr="00652AA7">
              <w:rPr>
                <w:rFonts w:hint="eastAsia"/>
              </w:rPr>
              <w:t>0</w:t>
            </w:r>
            <w:r w:rsidR="000127EB" w:rsidRPr="00652AA7">
              <w:rPr>
                <w:rFonts w:hint="eastAsia"/>
              </w:rPr>
              <w:t>点以上</w:t>
            </w:r>
          </w:p>
          <w:p w:rsidR="000127EB" w:rsidRPr="00652AA7" w:rsidRDefault="000127EB" w:rsidP="005D4017">
            <w:pPr>
              <w:kinsoku w:val="0"/>
              <w:autoSpaceDE w:val="0"/>
              <w:autoSpaceDN w:val="0"/>
            </w:pPr>
            <w:r w:rsidRPr="00652AA7">
              <w:rPr>
                <w:rFonts w:hint="eastAsia"/>
              </w:rPr>
              <w:t>7</w:t>
            </w:r>
            <w:r w:rsidR="005D4017" w:rsidRPr="00652AA7">
              <w:rPr>
                <w:rFonts w:hint="eastAsia"/>
              </w:rPr>
              <w:t>5</w:t>
            </w:r>
            <w:r w:rsidRPr="00652AA7">
              <w:rPr>
                <w:rFonts w:hint="eastAsia"/>
              </w:rPr>
              <w:t>0点未満</w:t>
            </w:r>
          </w:p>
        </w:tc>
        <w:tc>
          <w:tcPr>
            <w:tcW w:w="1418" w:type="dxa"/>
            <w:noWrap/>
            <w:hideMark/>
          </w:tcPr>
          <w:p w:rsidR="000127EB" w:rsidRPr="00652AA7" w:rsidRDefault="0040779C" w:rsidP="00804766">
            <w:pPr>
              <w:kinsoku w:val="0"/>
              <w:autoSpaceDE w:val="0"/>
              <w:autoSpaceDN w:val="0"/>
            </w:pPr>
            <w:r w:rsidRPr="00652AA7">
              <w:rPr>
                <w:rFonts w:hint="eastAsia"/>
              </w:rPr>
              <w:t>6</w:t>
            </w:r>
            <w:r w:rsidR="005D4017" w:rsidRPr="00652AA7">
              <w:rPr>
                <w:rFonts w:hint="eastAsia"/>
              </w:rPr>
              <w:t>5</w:t>
            </w:r>
            <w:r w:rsidRPr="00652AA7">
              <w:rPr>
                <w:rFonts w:hint="eastAsia"/>
              </w:rPr>
              <w:t>0</w:t>
            </w:r>
            <w:r w:rsidR="000127EB" w:rsidRPr="00652AA7">
              <w:rPr>
                <w:rFonts w:hint="eastAsia"/>
              </w:rPr>
              <w:t>点以上</w:t>
            </w:r>
          </w:p>
          <w:p w:rsidR="000127EB" w:rsidRPr="00652AA7" w:rsidRDefault="000127EB" w:rsidP="005D4017">
            <w:pPr>
              <w:kinsoku w:val="0"/>
              <w:autoSpaceDE w:val="0"/>
              <w:autoSpaceDN w:val="0"/>
            </w:pPr>
            <w:r w:rsidRPr="00652AA7">
              <w:rPr>
                <w:rFonts w:hint="eastAsia"/>
              </w:rPr>
              <w:t>7</w:t>
            </w:r>
            <w:r w:rsidR="005D4017" w:rsidRPr="00652AA7">
              <w:rPr>
                <w:rFonts w:hint="eastAsia"/>
              </w:rPr>
              <w:t>5</w:t>
            </w:r>
            <w:r w:rsidRPr="00652AA7">
              <w:rPr>
                <w:rFonts w:hint="eastAsia"/>
              </w:rPr>
              <w:t>0点未満</w:t>
            </w:r>
          </w:p>
        </w:tc>
        <w:tc>
          <w:tcPr>
            <w:tcW w:w="1417" w:type="dxa"/>
            <w:noWrap/>
            <w:hideMark/>
          </w:tcPr>
          <w:p w:rsidR="000127EB" w:rsidRPr="00652AA7" w:rsidRDefault="0040779C" w:rsidP="00804766">
            <w:pPr>
              <w:kinsoku w:val="0"/>
              <w:autoSpaceDE w:val="0"/>
              <w:autoSpaceDN w:val="0"/>
            </w:pPr>
            <w:r w:rsidRPr="00652AA7">
              <w:rPr>
                <w:rFonts w:hint="eastAsia"/>
              </w:rPr>
              <w:t>6</w:t>
            </w:r>
            <w:r w:rsidR="00962BE8" w:rsidRPr="00652AA7">
              <w:rPr>
                <w:rFonts w:hint="eastAsia"/>
              </w:rPr>
              <w:t>0</w:t>
            </w:r>
            <w:r w:rsidRPr="00652AA7">
              <w:rPr>
                <w:rFonts w:hint="eastAsia"/>
              </w:rPr>
              <w:t>0</w:t>
            </w:r>
            <w:r w:rsidR="000127EB" w:rsidRPr="00652AA7">
              <w:rPr>
                <w:rFonts w:hint="eastAsia"/>
              </w:rPr>
              <w:t>点以上</w:t>
            </w:r>
          </w:p>
          <w:p w:rsidR="000127EB" w:rsidRPr="00652AA7" w:rsidRDefault="000127EB" w:rsidP="00962BE8">
            <w:pPr>
              <w:kinsoku w:val="0"/>
              <w:autoSpaceDE w:val="0"/>
              <w:autoSpaceDN w:val="0"/>
            </w:pPr>
            <w:r w:rsidRPr="00652AA7">
              <w:rPr>
                <w:rFonts w:hint="eastAsia"/>
              </w:rPr>
              <w:t>7</w:t>
            </w:r>
            <w:r w:rsidR="00962BE8" w:rsidRPr="00652AA7">
              <w:rPr>
                <w:rFonts w:hint="eastAsia"/>
              </w:rPr>
              <w:t>0</w:t>
            </w:r>
            <w:r w:rsidRPr="00652AA7">
              <w:rPr>
                <w:rFonts w:hint="eastAsia"/>
              </w:rPr>
              <w:t>0点未満</w:t>
            </w:r>
          </w:p>
        </w:tc>
        <w:tc>
          <w:tcPr>
            <w:tcW w:w="1843" w:type="dxa"/>
            <w:noWrap/>
            <w:hideMark/>
          </w:tcPr>
          <w:p w:rsidR="000127EB" w:rsidRPr="00652AA7" w:rsidRDefault="0040779C" w:rsidP="00804766">
            <w:pPr>
              <w:kinsoku w:val="0"/>
              <w:autoSpaceDE w:val="0"/>
              <w:autoSpaceDN w:val="0"/>
            </w:pPr>
            <w:r w:rsidRPr="00652AA7">
              <w:rPr>
                <w:rFonts w:hint="eastAsia"/>
              </w:rPr>
              <w:t>600</w:t>
            </w:r>
            <w:r w:rsidR="000127EB" w:rsidRPr="00652AA7">
              <w:rPr>
                <w:rFonts w:hint="eastAsia"/>
              </w:rPr>
              <w:t>点以上</w:t>
            </w:r>
          </w:p>
          <w:p w:rsidR="000127EB" w:rsidRPr="00652AA7" w:rsidRDefault="000127EB" w:rsidP="00804766">
            <w:pPr>
              <w:kinsoku w:val="0"/>
              <w:autoSpaceDE w:val="0"/>
              <w:autoSpaceDN w:val="0"/>
            </w:pPr>
            <w:r w:rsidRPr="00652AA7">
              <w:rPr>
                <w:rFonts w:hint="eastAsia"/>
              </w:rPr>
              <w:t>700点未満</w:t>
            </w:r>
          </w:p>
        </w:tc>
      </w:tr>
      <w:tr w:rsidR="000127EB" w:rsidRPr="00652AA7" w:rsidTr="000127EB">
        <w:trPr>
          <w:trHeight w:val="239"/>
        </w:trPr>
        <w:tc>
          <w:tcPr>
            <w:tcW w:w="851" w:type="dxa"/>
            <w:noWrap/>
            <w:hideMark/>
          </w:tcPr>
          <w:p w:rsidR="000127EB" w:rsidRPr="00652AA7" w:rsidRDefault="000127EB" w:rsidP="00804766">
            <w:pPr>
              <w:kinsoku w:val="0"/>
              <w:autoSpaceDE w:val="0"/>
              <w:autoSpaceDN w:val="0"/>
            </w:pPr>
            <w:r w:rsidRPr="00652AA7">
              <w:rPr>
                <w:rFonts w:hint="eastAsia"/>
              </w:rPr>
              <w:t>Ｄ級</w:t>
            </w:r>
          </w:p>
        </w:tc>
        <w:tc>
          <w:tcPr>
            <w:tcW w:w="1843" w:type="dxa"/>
            <w:noWrap/>
            <w:hideMark/>
          </w:tcPr>
          <w:p w:rsidR="000127EB" w:rsidRPr="00652AA7" w:rsidRDefault="0040779C" w:rsidP="00DB6BC0">
            <w:pPr>
              <w:kinsoku w:val="0"/>
            </w:pPr>
            <w:r w:rsidRPr="00652AA7">
              <w:rPr>
                <w:rFonts w:hint="eastAsia"/>
              </w:rPr>
              <w:t>6</w:t>
            </w:r>
            <w:r w:rsidR="00DB6BC0" w:rsidRPr="00652AA7">
              <w:rPr>
                <w:rFonts w:hint="eastAsia"/>
              </w:rPr>
              <w:t>5</w:t>
            </w:r>
            <w:r w:rsidRPr="00652AA7">
              <w:rPr>
                <w:rFonts w:hint="eastAsia"/>
              </w:rPr>
              <w:t>0</w:t>
            </w:r>
            <w:r w:rsidR="000127EB" w:rsidRPr="00652AA7">
              <w:rPr>
                <w:rFonts w:hint="eastAsia"/>
              </w:rPr>
              <w:t>点未満</w:t>
            </w:r>
          </w:p>
        </w:tc>
        <w:tc>
          <w:tcPr>
            <w:tcW w:w="1842" w:type="dxa"/>
            <w:noWrap/>
            <w:hideMark/>
          </w:tcPr>
          <w:p w:rsidR="000127EB" w:rsidRPr="00652AA7" w:rsidRDefault="0040779C" w:rsidP="005D4017">
            <w:pPr>
              <w:kinsoku w:val="0"/>
              <w:autoSpaceDE w:val="0"/>
              <w:autoSpaceDN w:val="0"/>
            </w:pPr>
            <w:r w:rsidRPr="00652AA7">
              <w:rPr>
                <w:rFonts w:hint="eastAsia"/>
              </w:rPr>
              <w:t>6</w:t>
            </w:r>
            <w:r w:rsidR="005D4017" w:rsidRPr="00652AA7">
              <w:rPr>
                <w:rFonts w:hint="eastAsia"/>
              </w:rPr>
              <w:t>5</w:t>
            </w:r>
            <w:r w:rsidRPr="00652AA7">
              <w:rPr>
                <w:rFonts w:hint="eastAsia"/>
              </w:rPr>
              <w:t>0</w:t>
            </w:r>
            <w:r w:rsidR="000127EB" w:rsidRPr="00652AA7">
              <w:rPr>
                <w:rFonts w:hint="eastAsia"/>
              </w:rPr>
              <w:t>点未満</w:t>
            </w:r>
          </w:p>
        </w:tc>
        <w:tc>
          <w:tcPr>
            <w:tcW w:w="1418" w:type="dxa"/>
            <w:noWrap/>
            <w:hideMark/>
          </w:tcPr>
          <w:p w:rsidR="000127EB" w:rsidRPr="00652AA7" w:rsidRDefault="0040779C" w:rsidP="005D4017">
            <w:pPr>
              <w:kinsoku w:val="0"/>
              <w:autoSpaceDE w:val="0"/>
              <w:autoSpaceDN w:val="0"/>
            </w:pPr>
            <w:r w:rsidRPr="00652AA7">
              <w:rPr>
                <w:rFonts w:hint="eastAsia"/>
              </w:rPr>
              <w:t>6</w:t>
            </w:r>
            <w:r w:rsidR="005D4017" w:rsidRPr="00652AA7">
              <w:rPr>
                <w:rFonts w:hint="eastAsia"/>
              </w:rPr>
              <w:t>5</w:t>
            </w:r>
            <w:r w:rsidRPr="00652AA7">
              <w:rPr>
                <w:rFonts w:hint="eastAsia"/>
              </w:rPr>
              <w:t>0</w:t>
            </w:r>
            <w:r w:rsidR="000127EB" w:rsidRPr="00652AA7">
              <w:rPr>
                <w:rFonts w:hint="eastAsia"/>
              </w:rPr>
              <w:t>点未満</w:t>
            </w:r>
          </w:p>
        </w:tc>
        <w:tc>
          <w:tcPr>
            <w:tcW w:w="1417" w:type="dxa"/>
            <w:noWrap/>
            <w:hideMark/>
          </w:tcPr>
          <w:p w:rsidR="000127EB" w:rsidRPr="00652AA7" w:rsidRDefault="0040779C" w:rsidP="00962BE8">
            <w:pPr>
              <w:kinsoku w:val="0"/>
              <w:autoSpaceDE w:val="0"/>
              <w:autoSpaceDN w:val="0"/>
            </w:pPr>
            <w:r w:rsidRPr="00652AA7">
              <w:rPr>
                <w:rFonts w:hint="eastAsia"/>
              </w:rPr>
              <w:t>6</w:t>
            </w:r>
            <w:r w:rsidR="00962BE8" w:rsidRPr="00652AA7">
              <w:rPr>
                <w:rFonts w:hint="eastAsia"/>
              </w:rPr>
              <w:t>0</w:t>
            </w:r>
            <w:r w:rsidRPr="00652AA7">
              <w:rPr>
                <w:rFonts w:hint="eastAsia"/>
              </w:rPr>
              <w:t>0</w:t>
            </w:r>
            <w:r w:rsidR="000127EB" w:rsidRPr="00652AA7">
              <w:rPr>
                <w:rFonts w:hint="eastAsia"/>
              </w:rPr>
              <w:t>点未満</w:t>
            </w:r>
          </w:p>
        </w:tc>
        <w:tc>
          <w:tcPr>
            <w:tcW w:w="1843" w:type="dxa"/>
            <w:hideMark/>
          </w:tcPr>
          <w:p w:rsidR="000127EB" w:rsidRPr="00652AA7" w:rsidRDefault="0040779C" w:rsidP="00804766">
            <w:pPr>
              <w:kinsoku w:val="0"/>
              <w:autoSpaceDE w:val="0"/>
              <w:autoSpaceDN w:val="0"/>
            </w:pPr>
            <w:r w:rsidRPr="00652AA7">
              <w:rPr>
                <w:rFonts w:hint="eastAsia"/>
              </w:rPr>
              <w:t>600</w:t>
            </w:r>
            <w:r w:rsidR="000127EB" w:rsidRPr="00652AA7">
              <w:rPr>
                <w:rFonts w:hint="eastAsia"/>
              </w:rPr>
              <w:t>点未満</w:t>
            </w:r>
          </w:p>
        </w:tc>
      </w:tr>
    </w:tbl>
    <w:p w:rsidR="0083275B" w:rsidRPr="00652AA7" w:rsidRDefault="0083275B" w:rsidP="00BB229F">
      <w:pPr>
        <w:kinsoku w:val="0"/>
        <w:autoSpaceDE w:val="0"/>
        <w:autoSpaceDN w:val="0"/>
        <w:ind w:left="255" w:hangingChars="100" w:hanging="255"/>
      </w:pPr>
    </w:p>
    <w:p w:rsidR="00B4360C" w:rsidRPr="00652AA7" w:rsidRDefault="0083275B" w:rsidP="00BB229F">
      <w:pPr>
        <w:kinsoku w:val="0"/>
        <w:autoSpaceDE w:val="0"/>
        <w:autoSpaceDN w:val="0"/>
        <w:ind w:left="255" w:hangingChars="100" w:hanging="255"/>
      </w:pPr>
      <w:r w:rsidRPr="00652AA7">
        <w:rPr>
          <w:rFonts w:hint="eastAsia"/>
        </w:rPr>
        <w:t>第３　客観的事項の数値</w:t>
      </w:r>
    </w:p>
    <w:p w:rsidR="00B4360C" w:rsidRPr="00652AA7" w:rsidRDefault="00B4360C" w:rsidP="0083275B">
      <w:pPr>
        <w:kinsoku w:val="0"/>
        <w:autoSpaceDE w:val="0"/>
        <w:autoSpaceDN w:val="0"/>
        <w:ind w:leftChars="100" w:left="255" w:firstLineChars="100" w:firstLine="255"/>
      </w:pPr>
      <w:r w:rsidRPr="00652AA7">
        <w:rPr>
          <w:rFonts w:hint="eastAsia"/>
        </w:rPr>
        <w:t>客観的事項の数値は、建設業法（昭和２４年法律第１００号）第２７条の２３に規定する経営事項審査の結果通知書に記載された業種ごとの総合</w:t>
      </w:r>
      <w:r w:rsidR="00B41B5E" w:rsidRPr="00652AA7">
        <w:rPr>
          <w:rFonts w:hint="eastAsia"/>
        </w:rPr>
        <w:t>評定値</w:t>
      </w:r>
      <w:r w:rsidR="00AB0E10" w:rsidRPr="00652AA7">
        <w:rPr>
          <w:rFonts w:hint="eastAsia"/>
        </w:rPr>
        <w:t>（</w:t>
      </w:r>
      <w:r w:rsidR="00AB0E10" w:rsidRPr="00652AA7">
        <w:rPr>
          <w:rFonts w:hint="eastAsia"/>
        </w:rPr>
        <w:lastRenderedPageBreak/>
        <w:t>規程第８条に定める項目のうち経営規模、経営状況、技術力及びその他の審査項目（社会性等）を、平成２０年国土交通省告示第８５号（以下「国土交通省告示」という。）第二に定める基準（以下「国土交通省告示に定める基準という。）に従って審査し、同告示並びに平成２０年１月３</w:t>
      </w:r>
      <w:r w:rsidR="00EC25AE">
        <w:rPr>
          <w:rFonts w:hint="eastAsia"/>
        </w:rPr>
        <w:t>１</w:t>
      </w:r>
      <w:r w:rsidR="00AB0E10" w:rsidRPr="00652AA7">
        <w:rPr>
          <w:rFonts w:hint="eastAsia"/>
        </w:rPr>
        <w:t>日付け国総建第２６９号「経営事項審査の事務取扱について」及び同別紙「経営規模等評価の結果を評点で表す方法」（以下「事務取扱別紙」という。）により算出した評点）</w:t>
      </w:r>
      <w:r w:rsidRPr="00652AA7">
        <w:rPr>
          <w:rFonts w:hint="eastAsia"/>
        </w:rPr>
        <w:t>とする。</w:t>
      </w:r>
    </w:p>
    <w:p w:rsidR="00314A75" w:rsidRPr="00652AA7" w:rsidRDefault="00A66327" w:rsidP="00A66327">
      <w:pPr>
        <w:kinsoku w:val="0"/>
        <w:autoSpaceDE w:val="0"/>
        <w:autoSpaceDN w:val="0"/>
        <w:ind w:leftChars="100" w:left="255" w:firstLineChars="100" w:firstLine="255"/>
      </w:pPr>
      <w:r w:rsidRPr="00652AA7">
        <w:rPr>
          <w:rFonts w:hint="eastAsia"/>
        </w:rPr>
        <w:t>ただし、中小企業等協同組合法（昭和２４年法律第１８１号）に基づく事業協同組合及び企業組合並びに中小企業団体の組織に関する法律（昭和３２年法律第１８５号）に基づく協業組合（以下「協同組合等」という。）のうち、建設業法第３条の規定による許可を受け、かつ、官公需適格組合の証明を受けた者であって資格審査に係る工事種別の官公需適格組合の算出方法の特例を希望する者</w:t>
      </w:r>
      <w:r w:rsidR="00314A75" w:rsidRPr="00652AA7">
        <w:rPr>
          <w:rFonts w:hint="eastAsia"/>
        </w:rPr>
        <w:t>については、次のとおり取り扱うものとする。</w:t>
      </w:r>
    </w:p>
    <w:p w:rsidR="00314A75" w:rsidRPr="00652AA7" w:rsidRDefault="00314A75" w:rsidP="0083275B">
      <w:pPr>
        <w:kinsoku w:val="0"/>
        <w:autoSpaceDE w:val="0"/>
        <w:autoSpaceDN w:val="0"/>
        <w:ind w:leftChars="200" w:left="765" w:hangingChars="100" w:hanging="255"/>
        <w:rPr>
          <w:rFonts w:hAnsi="ＭＳ 明朝"/>
        </w:rPr>
      </w:pPr>
      <w:r w:rsidRPr="00652AA7">
        <w:rPr>
          <w:rFonts w:hAnsi="ＭＳ 明朝" w:hint="eastAsia"/>
        </w:rPr>
        <w:t>⑴　経営規模及び技術力の審査は、当該組合と５以内の組合員（要綱第６条第４項中官公需適格組合が申請する場合の書類欄の「組合員」をいい、当該組合の理事並びに当該組合の理事又は組合員が代表者となっている法人を含む。以下同じ。）の次に掲げる事項の合計値を用いて、国土交通省告示に定める基準に準じて行う。</w:t>
      </w:r>
    </w:p>
    <w:p w:rsidR="00314A75" w:rsidRPr="00652AA7" w:rsidRDefault="00314A75" w:rsidP="0083275B">
      <w:pPr>
        <w:kinsoku w:val="0"/>
        <w:autoSpaceDE w:val="0"/>
        <w:autoSpaceDN w:val="0"/>
        <w:ind w:leftChars="300" w:left="1020" w:hangingChars="100" w:hanging="255"/>
        <w:rPr>
          <w:rFonts w:hAnsi="ＭＳ 明朝"/>
        </w:rPr>
      </w:pPr>
      <w:r w:rsidRPr="00652AA7">
        <w:rPr>
          <w:rFonts w:hAnsi="ＭＳ 明朝" w:hint="eastAsia"/>
        </w:rPr>
        <w:t>ア　工事の種類別年間平均完成工事高</w:t>
      </w:r>
    </w:p>
    <w:p w:rsidR="00314A75" w:rsidRPr="00652AA7" w:rsidRDefault="00314A75" w:rsidP="0083275B">
      <w:pPr>
        <w:kinsoku w:val="0"/>
        <w:autoSpaceDE w:val="0"/>
        <w:autoSpaceDN w:val="0"/>
        <w:ind w:leftChars="300" w:left="1020" w:hangingChars="100" w:hanging="255"/>
        <w:rPr>
          <w:rFonts w:hAnsi="ＭＳ 明朝"/>
        </w:rPr>
      </w:pPr>
      <w:r w:rsidRPr="00652AA7">
        <w:rPr>
          <w:rFonts w:hAnsi="ＭＳ 明朝" w:hint="eastAsia"/>
        </w:rPr>
        <w:t>イ　工事の種類別年間平均元請完成工事高</w:t>
      </w:r>
    </w:p>
    <w:p w:rsidR="00314A75" w:rsidRPr="00652AA7" w:rsidRDefault="00314A75" w:rsidP="0083275B">
      <w:pPr>
        <w:kinsoku w:val="0"/>
        <w:autoSpaceDE w:val="0"/>
        <w:autoSpaceDN w:val="0"/>
        <w:ind w:leftChars="300" w:left="1020" w:hangingChars="100" w:hanging="255"/>
        <w:rPr>
          <w:rFonts w:hAnsi="ＭＳ 明朝"/>
        </w:rPr>
      </w:pPr>
      <w:r w:rsidRPr="00652AA7">
        <w:rPr>
          <w:rFonts w:hAnsi="ＭＳ 明朝" w:hint="eastAsia"/>
        </w:rPr>
        <w:t>ウ　自己資本の額</w:t>
      </w:r>
    </w:p>
    <w:p w:rsidR="00314A75" w:rsidRPr="00652AA7" w:rsidRDefault="00314A75" w:rsidP="0083275B">
      <w:pPr>
        <w:kinsoku w:val="0"/>
        <w:autoSpaceDE w:val="0"/>
        <w:autoSpaceDN w:val="0"/>
        <w:ind w:leftChars="300" w:left="1020" w:hangingChars="100" w:hanging="255"/>
        <w:rPr>
          <w:rFonts w:hAnsi="ＭＳ 明朝"/>
        </w:rPr>
      </w:pPr>
      <w:r w:rsidRPr="00652AA7">
        <w:rPr>
          <w:rFonts w:hAnsi="ＭＳ 明朝" w:hint="eastAsia"/>
        </w:rPr>
        <w:t>エ　利益額</w:t>
      </w:r>
    </w:p>
    <w:p w:rsidR="00314A75" w:rsidRPr="00652AA7" w:rsidRDefault="00314A75" w:rsidP="0083275B">
      <w:pPr>
        <w:kinsoku w:val="0"/>
        <w:autoSpaceDE w:val="0"/>
        <w:autoSpaceDN w:val="0"/>
        <w:ind w:leftChars="300" w:left="1020" w:hangingChars="100" w:hanging="255"/>
        <w:rPr>
          <w:rFonts w:hAnsi="ＭＳ 明朝"/>
        </w:rPr>
      </w:pPr>
      <w:r w:rsidRPr="00652AA7">
        <w:rPr>
          <w:rFonts w:hAnsi="ＭＳ 明朝" w:hint="eastAsia"/>
        </w:rPr>
        <w:t>オ　技術職員の数</w:t>
      </w:r>
    </w:p>
    <w:p w:rsidR="00314A75" w:rsidRPr="00652AA7" w:rsidRDefault="00314A75" w:rsidP="0083275B">
      <w:pPr>
        <w:kinsoku w:val="0"/>
        <w:autoSpaceDE w:val="0"/>
        <w:autoSpaceDN w:val="0"/>
        <w:ind w:leftChars="200" w:left="765" w:hangingChars="100" w:hanging="255"/>
        <w:rPr>
          <w:rFonts w:hAnsi="ＭＳ 明朝"/>
        </w:rPr>
      </w:pPr>
      <w:r w:rsidRPr="00652AA7">
        <w:rPr>
          <w:rFonts w:hAnsi="ＭＳ 明朝" w:hint="eastAsia"/>
        </w:rPr>
        <w:t>⑵　経営状況及びその他の審査項目（社会性等）の評点は、当該組合と５以内の組合員の</w:t>
      </w:r>
      <w:r w:rsidR="00AB0E10" w:rsidRPr="00652AA7">
        <w:rPr>
          <w:rFonts w:hAnsi="ＭＳ 明朝" w:hint="eastAsia"/>
        </w:rPr>
        <w:t>事務取扱別紙に定める</w:t>
      </w:r>
      <w:r w:rsidRPr="00652AA7">
        <w:rPr>
          <w:rFonts w:hAnsi="ＭＳ 明朝" w:hint="eastAsia"/>
        </w:rPr>
        <w:t>当該評点の平均値（小数点以下第１位</w:t>
      </w:r>
      <w:r w:rsidRPr="00652AA7">
        <w:rPr>
          <w:rFonts w:hAnsi="ＭＳ 明朝" w:hint="eastAsia"/>
        </w:rPr>
        <w:lastRenderedPageBreak/>
        <w:t>を四捨五入した数値）とする。</w:t>
      </w:r>
    </w:p>
    <w:p w:rsidR="0083275B" w:rsidRPr="00652AA7" w:rsidRDefault="0083275B" w:rsidP="00314A75">
      <w:pPr>
        <w:kinsoku w:val="0"/>
        <w:autoSpaceDE w:val="0"/>
        <w:autoSpaceDN w:val="0"/>
        <w:ind w:left="255" w:hangingChars="100" w:hanging="255"/>
      </w:pPr>
    </w:p>
    <w:p w:rsidR="00B4360C" w:rsidRPr="00652AA7" w:rsidRDefault="0083275B" w:rsidP="00314A75">
      <w:pPr>
        <w:kinsoku w:val="0"/>
        <w:autoSpaceDE w:val="0"/>
        <w:autoSpaceDN w:val="0"/>
        <w:ind w:left="255" w:hangingChars="100" w:hanging="255"/>
      </w:pPr>
      <w:r w:rsidRPr="00652AA7">
        <w:rPr>
          <w:rFonts w:hint="eastAsia"/>
        </w:rPr>
        <w:t>第４　主観的事項の数値</w:t>
      </w:r>
    </w:p>
    <w:p w:rsidR="00B4360C" w:rsidRPr="00652AA7" w:rsidRDefault="00B4360C" w:rsidP="0083275B">
      <w:pPr>
        <w:kinsoku w:val="0"/>
        <w:autoSpaceDE w:val="0"/>
        <w:autoSpaceDN w:val="0"/>
        <w:ind w:leftChars="100" w:left="255" w:firstLineChars="100" w:firstLine="255"/>
      </w:pPr>
      <w:r w:rsidRPr="00652AA7">
        <w:rPr>
          <w:rFonts w:hint="eastAsia"/>
        </w:rPr>
        <w:t>主観的事項の数値は、ＩＳＯ認証</w:t>
      </w:r>
      <w:r w:rsidR="00B41B5E" w:rsidRPr="00652AA7">
        <w:rPr>
          <w:rFonts w:hint="eastAsia"/>
        </w:rPr>
        <w:t>の</w:t>
      </w:r>
      <w:r w:rsidRPr="00652AA7">
        <w:rPr>
          <w:rFonts w:hint="eastAsia"/>
        </w:rPr>
        <w:t>取得に関して</w:t>
      </w:r>
      <w:r w:rsidR="000127EB" w:rsidRPr="00652AA7">
        <w:rPr>
          <w:rFonts w:hint="eastAsia"/>
        </w:rPr>
        <w:t>下表</w:t>
      </w:r>
      <w:r w:rsidRPr="00652AA7">
        <w:rPr>
          <w:rFonts w:hint="eastAsia"/>
        </w:rPr>
        <w:t>に従い算出された合計の数値とする。</w:t>
      </w:r>
    </w:p>
    <w:tbl>
      <w:tblPr>
        <w:tblW w:w="3856" w:type="dxa"/>
        <w:tblLayout w:type="fixed"/>
        <w:tblCellMar>
          <w:left w:w="28" w:type="dxa"/>
          <w:right w:w="28" w:type="dxa"/>
        </w:tblCellMar>
        <w:tblLook w:val="0000" w:firstRow="0" w:lastRow="0" w:firstColumn="0" w:lastColumn="0" w:noHBand="0" w:noVBand="0"/>
      </w:tblPr>
      <w:tblGrid>
        <w:gridCol w:w="3005"/>
        <w:gridCol w:w="851"/>
      </w:tblGrid>
      <w:tr w:rsidR="00652AA7" w:rsidRPr="00652AA7" w:rsidTr="00804766">
        <w:tc>
          <w:tcPr>
            <w:tcW w:w="3005" w:type="dxa"/>
            <w:tcBorders>
              <w:top w:val="single" w:sz="6" w:space="0" w:color="auto"/>
              <w:left w:val="single" w:sz="6" w:space="0" w:color="auto"/>
              <w:bottom w:val="single" w:sz="6" w:space="0" w:color="auto"/>
              <w:right w:val="single" w:sz="6" w:space="0" w:color="auto"/>
            </w:tcBorders>
            <w:vAlign w:val="center"/>
          </w:tcPr>
          <w:p w:rsidR="000127EB" w:rsidRPr="00652AA7" w:rsidRDefault="000127EB" w:rsidP="000127EB">
            <w:pPr>
              <w:spacing w:line="220" w:lineRule="atLeast"/>
              <w:ind w:leftChars="59" w:left="151" w:right="-57"/>
              <w:rPr>
                <w:noProof/>
              </w:rPr>
            </w:pPr>
            <w:r w:rsidRPr="00652AA7">
              <w:rPr>
                <w:rFonts w:hint="eastAsia"/>
                <w:noProof/>
              </w:rPr>
              <w:t>認証取得したＩＳＯ規格</w:t>
            </w:r>
          </w:p>
        </w:tc>
        <w:tc>
          <w:tcPr>
            <w:tcW w:w="851" w:type="dxa"/>
            <w:tcBorders>
              <w:top w:val="single" w:sz="6" w:space="0" w:color="auto"/>
              <w:left w:val="single" w:sz="6" w:space="0" w:color="auto"/>
              <w:bottom w:val="single" w:sz="6" w:space="0" w:color="auto"/>
              <w:right w:val="single" w:sz="6" w:space="0" w:color="auto"/>
            </w:tcBorders>
            <w:vAlign w:val="center"/>
          </w:tcPr>
          <w:p w:rsidR="000127EB" w:rsidRPr="00652AA7" w:rsidRDefault="000127EB" w:rsidP="000127EB">
            <w:pPr>
              <w:spacing w:line="220" w:lineRule="atLeast"/>
              <w:ind w:leftChars="59" w:left="151" w:right="-57"/>
              <w:rPr>
                <w:noProof/>
              </w:rPr>
            </w:pPr>
            <w:r w:rsidRPr="00652AA7">
              <w:rPr>
                <w:rFonts w:hint="eastAsia"/>
                <w:noProof/>
              </w:rPr>
              <w:t>評点</w:t>
            </w:r>
          </w:p>
        </w:tc>
      </w:tr>
      <w:tr w:rsidR="00652AA7" w:rsidRPr="00652AA7" w:rsidTr="00804766">
        <w:tc>
          <w:tcPr>
            <w:tcW w:w="3005" w:type="dxa"/>
            <w:tcBorders>
              <w:top w:val="single" w:sz="6" w:space="0" w:color="auto"/>
              <w:left w:val="single" w:sz="6" w:space="0" w:color="auto"/>
              <w:bottom w:val="single" w:sz="6" w:space="0" w:color="auto"/>
              <w:right w:val="single" w:sz="6" w:space="0" w:color="auto"/>
            </w:tcBorders>
          </w:tcPr>
          <w:p w:rsidR="000127EB" w:rsidRPr="00652AA7" w:rsidRDefault="000127EB" w:rsidP="000127EB">
            <w:pPr>
              <w:spacing w:line="220" w:lineRule="atLeast"/>
              <w:ind w:leftChars="59" w:left="151" w:right="-57"/>
              <w:rPr>
                <w:noProof/>
              </w:rPr>
            </w:pPr>
            <w:r w:rsidRPr="00652AA7">
              <w:rPr>
                <w:rFonts w:hint="eastAsia"/>
                <w:noProof/>
              </w:rPr>
              <w:t>９０００シリーズ</w:t>
            </w:r>
          </w:p>
        </w:tc>
        <w:tc>
          <w:tcPr>
            <w:tcW w:w="851" w:type="dxa"/>
            <w:tcBorders>
              <w:top w:val="single" w:sz="6" w:space="0" w:color="auto"/>
              <w:left w:val="single" w:sz="6" w:space="0" w:color="auto"/>
              <w:bottom w:val="single" w:sz="6" w:space="0" w:color="auto"/>
              <w:right w:val="single" w:sz="6" w:space="0" w:color="auto"/>
            </w:tcBorders>
            <w:vAlign w:val="center"/>
          </w:tcPr>
          <w:p w:rsidR="000127EB" w:rsidRPr="00652AA7" w:rsidRDefault="000127EB" w:rsidP="000127EB">
            <w:pPr>
              <w:spacing w:line="220" w:lineRule="atLeast"/>
              <w:ind w:leftChars="59" w:left="151" w:right="-57"/>
              <w:rPr>
                <w:noProof/>
              </w:rPr>
            </w:pPr>
            <w:r w:rsidRPr="00652AA7">
              <w:rPr>
                <w:rFonts w:hint="eastAsia"/>
                <w:noProof/>
              </w:rPr>
              <w:t>２０</w:t>
            </w:r>
          </w:p>
        </w:tc>
      </w:tr>
      <w:tr w:rsidR="000127EB" w:rsidRPr="00652AA7" w:rsidTr="00804766">
        <w:tc>
          <w:tcPr>
            <w:tcW w:w="3005" w:type="dxa"/>
            <w:tcBorders>
              <w:top w:val="single" w:sz="6" w:space="0" w:color="auto"/>
              <w:left w:val="single" w:sz="6" w:space="0" w:color="auto"/>
              <w:bottom w:val="single" w:sz="6" w:space="0" w:color="auto"/>
              <w:right w:val="single" w:sz="6" w:space="0" w:color="auto"/>
            </w:tcBorders>
          </w:tcPr>
          <w:p w:rsidR="000127EB" w:rsidRPr="00652AA7" w:rsidRDefault="000127EB" w:rsidP="000127EB">
            <w:pPr>
              <w:spacing w:line="220" w:lineRule="atLeast"/>
              <w:ind w:leftChars="59" w:left="151" w:right="-57"/>
              <w:rPr>
                <w:noProof/>
              </w:rPr>
            </w:pPr>
            <w:r w:rsidRPr="00652AA7">
              <w:rPr>
                <w:rFonts w:hint="eastAsia"/>
                <w:noProof/>
              </w:rPr>
              <w:t>１４０００シリーズ</w:t>
            </w:r>
          </w:p>
        </w:tc>
        <w:tc>
          <w:tcPr>
            <w:tcW w:w="851" w:type="dxa"/>
            <w:tcBorders>
              <w:top w:val="single" w:sz="6" w:space="0" w:color="auto"/>
              <w:left w:val="single" w:sz="6" w:space="0" w:color="auto"/>
              <w:bottom w:val="single" w:sz="6" w:space="0" w:color="auto"/>
              <w:right w:val="single" w:sz="6" w:space="0" w:color="auto"/>
            </w:tcBorders>
            <w:vAlign w:val="center"/>
          </w:tcPr>
          <w:p w:rsidR="000127EB" w:rsidRPr="00652AA7" w:rsidRDefault="000127EB" w:rsidP="000127EB">
            <w:pPr>
              <w:spacing w:line="220" w:lineRule="atLeast"/>
              <w:ind w:leftChars="59" w:left="151" w:right="-57"/>
              <w:rPr>
                <w:noProof/>
              </w:rPr>
            </w:pPr>
            <w:r w:rsidRPr="00652AA7">
              <w:rPr>
                <w:rFonts w:hint="eastAsia"/>
                <w:noProof/>
              </w:rPr>
              <w:t>１０</w:t>
            </w:r>
          </w:p>
        </w:tc>
      </w:tr>
    </w:tbl>
    <w:p w:rsidR="0083275B" w:rsidRPr="00652AA7" w:rsidRDefault="0083275B" w:rsidP="00BB229F">
      <w:pPr>
        <w:kinsoku w:val="0"/>
        <w:autoSpaceDE w:val="0"/>
        <w:autoSpaceDN w:val="0"/>
        <w:ind w:left="255" w:hangingChars="100" w:hanging="255"/>
      </w:pPr>
    </w:p>
    <w:p w:rsidR="00B4360C" w:rsidRPr="00652AA7" w:rsidRDefault="0083275B" w:rsidP="00BB229F">
      <w:pPr>
        <w:kinsoku w:val="0"/>
        <w:autoSpaceDE w:val="0"/>
        <w:autoSpaceDN w:val="0"/>
        <w:ind w:left="255" w:hangingChars="100" w:hanging="255"/>
      </w:pPr>
      <w:r w:rsidRPr="00652AA7">
        <w:rPr>
          <w:rFonts w:hint="eastAsia"/>
        </w:rPr>
        <w:t xml:space="preserve">第５　</w:t>
      </w:r>
      <w:r w:rsidR="00B4360C" w:rsidRPr="00652AA7">
        <w:rPr>
          <w:rFonts w:hint="eastAsia"/>
        </w:rPr>
        <w:t>主観的事項の</w:t>
      </w:r>
      <w:r w:rsidR="002C2F3F" w:rsidRPr="00652AA7">
        <w:rPr>
          <w:rFonts w:hint="eastAsia"/>
        </w:rPr>
        <w:t>数値の加算</w:t>
      </w:r>
      <w:r w:rsidRPr="00652AA7">
        <w:rPr>
          <w:rFonts w:hint="eastAsia"/>
        </w:rPr>
        <w:t>対象</w:t>
      </w:r>
    </w:p>
    <w:p w:rsidR="00B4360C" w:rsidRPr="00652AA7" w:rsidRDefault="00B4360C" w:rsidP="0083275B">
      <w:pPr>
        <w:kinsoku w:val="0"/>
        <w:autoSpaceDE w:val="0"/>
        <w:autoSpaceDN w:val="0"/>
        <w:ind w:leftChars="100" w:left="255" w:firstLineChars="100" w:firstLine="255"/>
      </w:pPr>
      <w:r w:rsidRPr="00652AA7">
        <w:rPr>
          <w:rFonts w:hint="eastAsia"/>
        </w:rPr>
        <w:t>主観的事項の</w:t>
      </w:r>
      <w:r w:rsidR="002C2F3F" w:rsidRPr="00652AA7">
        <w:rPr>
          <w:rFonts w:hint="eastAsia"/>
        </w:rPr>
        <w:t>数値の</w:t>
      </w:r>
      <w:r w:rsidR="00B41B5E" w:rsidRPr="00652AA7">
        <w:rPr>
          <w:rFonts w:hint="eastAsia"/>
        </w:rPr>
        <w:t>格付点数への</w:t>
      </w:r>
      <w:r w:rsidRPr="00652AA7">
        <w:rPr>
          <w:rFonts w:hint="eastAsia"/>
        </w:rPr>
        <w:t>加算は、</w:t>
      </w:r>
      <w:r w:rsidR="00B41B5E" w:rsidRPr="00652AA7">
        <w:rPr>
          <w:rFonts w:hint="eastAsia"/>
        </w:rPr>
        <w:t>組合市のいずれかの市内に</w:t>
      </w:r>
      <w:r w:rsidRPr="00652AA7">
        <w:rPr>
          <w:rFonts w:hint="eastAsia"/>
        </w:rPr>
        <w:t>建設業法に</w:t>
      </w:r>
      <w:r w:rsidR="00B41B5E" w:rsidRPr="00652AA7">
        <w:rPr>
          <w:rFonts w:hint="eastAsia"/>
        </w:rPr>
        <w:t>規定する</w:t>
      </w:r>
      <w:r w:rsidRPr="00652AA7">
        <w:rPr>
          <w:rFonts w:hint="eastAsia"/>
        </w:rPr>
        <w:t>主たる営業所を有するものについて行うものとする。</w:t>
      </w:r>
    </w:p>
    <w:p w:rsidR="0083275B" w:rsidRPr="00652AA7" w:rsidRDefault="0083275B" w:rsidP="00BB229F">
      <w:pPr>
        <w:kinsoku w:val="0"/>
        <w:autoSpaceDE w:val="0"/>
        <w:autoSpaceDN w:val="0"/>
        <w:ind w:left="255" w:hangingChars="100" w:hanging="255"/>
      </w:pPr>
    </w:p>
    <w:p w:rsidR="000127EB" w:rsidRPr="00652AA7" w:rsidRDefault="0083275B" w:rsidP="00BB229F">
      <w:pPr>
        <w:kinsoku w:val="0"/>
        <w:autoSpaceDE w:val="0"/>
        <w:autoSpaceDN w:val="0"/>
        <w:ind w:left="255" w:hangingChars="100" w:hanging="255"/>
      </w:pPr>
      <w:r w:rsidRPr="00652AA7">
        <w:rPr>
          <w:rFonts w:hint="eastAsia"/>
        </w:rPr>
        <w:t>第６　共同企業体の取扱い</w:t>
      </w:r>
    </w:p>
    <w:p w:rsidR="00B4360C" w:rsidRPr="00652AA7" w:rsidRDefault="000127EB" w:rsidP="0083275B">
      <w:pPr>
        <w:kinsoku w:val="0"/>
        <w:autoSpaceDE w:val="0"/>
        <w:autoSpaceDN w:val="0"/>
        <w:ind w:leftChars="100" w:left="255" w:firstLineChars="100" w:firstLine="255"/>
      </w:pPr>
      <w:r w:rsidRPr="00652AA7">
        <w:rPr>
          <w:rFonts w:hint="eastAsia"/>
        </w:rPr>
        <w:t>要綱第１５条に定める</w:t>
      </w:r>
      <w:r w:rsidR="00B4360C" w:rsidRPr="00652AA7">
        <w:rPr>
          <w:rFonts w:hint="eastAsia"/>
        </w:rPr>
        <w:t>共同企業体の取扱いについては、管理者が別に定める。</w:t>
      </w:r>
    </w:p>
    <w:p w:rsidR="0083275B" w:rsidRPr="00652AA7" w:rsidRDefault="0083275B" w:rsidP="00BB229F">
      <w:pPr>
        <w:kinsoku w:val="0"/>
        <w:autoSpaceDE w:val="0"/>
        <w:autoSpaceDN w:val="0"/>
        <w:ind w:left="255" w:hangingChars="100" w:hanging="255"/>
      </w:pPr>
    </w:p>
    <w:p w:rsidR="00B4360C" w:rsidRPr="00652AA7" w:rsidRDefault="0083275B" w:rsidP="00BB229F">
      <w:pPr>
        <w:kinsoku w:val="0"/>
        <w:autoSpaceDE w:val="0"/>
        <w:autoSpaceDN w:val="0"/>
        <w:ind w:left="255" w:hangingChars="100" w:hanging="255"/>
      </w:pPr>
      <w:r w:rsidRPr="00652AA7">
        <w:rPr>
          <w:rFonts w:hint="eastAsia"/>
        </w:rPr>
        <w:t>第７　格付の変更</w:t>
      </w:r>
    </w:p>
    <w:p w:rsidR="00B4360C" w:rsidRPr="00652AA7" w:rsidRDefault="00B4360C" w:rsidP="0083275B">
      <w:pPr>
        <w:kinsoku w:val="0"/>
        <w:autoSpaceDE w:val="0"/>
        <w:autoSpaceDN w:val="0"/>
        <w:ind w:leftChars="100" w:left="255" w:firstLineChars="100" w:firstLine="255"/>
      </w:pPr>
      <w:r w:rsidRPr="00652AA7">
        <w:rPr>
          <w:rFonts w:hint="eastAsia"/>
        </w:rPr>
        <w:t>要綱第１０条に定める参加資格の有効期間内においては、格付の変更は行わないものとする。ただし、管理者が必要と認めるときはこの限りでない。</w:t>
      </w:r>
    </w:p>
    <w:p w:rsidR="0083275B" w:rsidRPr="00652AA7" w:rsidRDefault="0083275B" w:rsidP="00BB229F">
      <w:pPr>
        <w:kinsoku w:val="0"/>
        <w:autoSpaceDE w:val="0"/>
        <w:autoSpaceDN w:val="0"/>
        <w:ind w:left="255" w:hangingChars="100" w:hanging="255"/>
      </w:pPr>
    </w:p>
    <w:sectPr w:rsidR="0083275B" w:rsidRPr="00652AA7" w:rsidSect="00B00608">
      <w:pgSz w:w="11906" w:h="16838" w:code="9"/>
      <w:pgMar w:top="1701" w:right="1361" w:bottom="1361" w:left="1361" w:header="851" w:footer="567"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CD" w:rsidRDefault="00B24BCD">
      <w:r>
        <w:separator/>
      </w:r>
    </w:p>
  </w:endnote>
  <w:endnote w:type="continuationSeparator" w:id="0">
    <w:p w:rsidR="00B24BCD" w:rsidRDefault="00B2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CD" w:rsidRDefault="00B24BCD">
      <w:r>
        <w:separator/>
      </w:r>
    </w:p>
  </w:footnote>
  <w:footnote w:type="continuationSeparator" w:id="0">
    <w:p w:rsidR="00B24BCD" w:rsidRDefault="00B2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51"/>
  <w:displayHorizontalDrawingGridEvery w:val="0"/>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A"/>
    <w:rsid w:val="00001F39"/>
    <w:rsid w:val="000127EB"/>
    <w:rsid w:val="00014C04"/>
    <w:rsid w:val="00022034"/>
    <w:rsid w:val="00036D0D"/>
    <w:rsid w:val="00046BA2"/>
    <w:rsid w:val="0005366D"/>
    <w:rsid w:val="00056D22"/>
    <w:rsid w:val="0006778F"/>
    <w:rsid w:val="00076CE7"/>
    <w:rsid w:val="000830AB"/>
    <w:rsid w:val="000875C2"/>
    <w:rsid w:val="0009116A"/>
    <w:rsid w:val="000942DA"/>
    <w:rsid w:val="00094B6F"/>
    <w:rsid w:val="000A23F2"/>
    <w:rsid w:val="000A4313"/>
    <w:rsid w:val="000A6194"/>
    <w:rsid w:val="000B4E89"/>
    <w:rsid w:val="000D5510"/>
    <w:rsid w:val="000F60F3"/>
    <w:rsid w:val="00122B29"/>
    <w:rsid w:val="00123859"/>
    <w:rsid w:val="00123DB4"/>
    <w:rsid w:val="00142B70"/>
    <w:rsid w:val="001618B5"/>
    <w:rsid w:val="00193298"/>
    <w:rsid w:val="001933F9"/>
    <w:rsid w:val="00193CB0"/>
    <w:rsid w:val="001969EF"/>
    <w:rsid w:val="00197E69"/>
    <w:rsid w:val="001A0BDA"/>
    <w:rsid w:val="001A37B5"/>
    <w:rsid w:val="001A7CF1"/>
    <w:rsid w:val="001B6088"/>
    <w:rsid w:val="001C38BB"/>
    <w:rsid w:val="001D2170"/>
    <w:rsid w:val="001E36F3"/>
    <w:rsid w:val="001E4F99"/>
    <w:rsid w:val="001E6D6A"/>
    <w:rsid w:val="001E799C"/>
    <w:rsid w:val="001F63F6"/>
    <w:rsid w:val="00202D86"/>
    <w:rsid w:val="0020418E"/>
    <w:rsid w:val="0020432D"/>
    <w:rsid w:val="00206AF1"/>
    <w:rsid w:val="002101A3"/>
    <w:rsid w:val="00221802"/>
    <w:rsid w:val="00223DAB"/>
    <w:rsid w:val="0024249E"/>
    <w:rsid w:val="00245B6B"/>
    <w:rsid w:val="00247BA3"/>
    <w:rsid w:val="002571D0"/>
    <w:rsid w:val="00261360"/>
    <w:rsid w:val="0028388E"/>
    <w:rsid w:val="00285068"/>
    <w:rsid w:val="00293348"/>
    <w:rsid w:val="002A3D87"/>
    <w:rsid w:val="002A47EE"/>
    <w:rsid w:val="002A7BE1"/>
    <w:rsid w:val="002B0538"/>
    <w:rsid w:val="002C22AE"/>
    <w:rsid w:val="002C2F3F"/>
    <w:rsid w:val="002D622D"/>
    <w:rsid w:val="002E03E9"/>
    <w:rsid w:val="002E50F2"/>
    <w:rsid w:val="002F053B"/>
    <w:rsid w:val="00314A75"/>
    <w:rsid w:val="00321E78"/>
    <w:rsid w:val="00326831"/>
    <w:rsid w:val="00340BC4"/>
    <w:rsid w:val="00355E3B"/>
    <w:rsid w:val="00374726"/>
    <w:rsid w:val="0038260A"/>
    <w:rsid w:val="003850DD"/>
    <w:rsid w:val="00386C0B"/>
    <w:rsid w:val="00391FAE"/>
    <w:rsid w:val="00392A11"/>
    <w:rsid w:val="00392AEE"/>
    <w:rsid w:val="003A33C3"/>
    <w:rsid w:val="003A3C14"/>
    <w:rsid w:val="003E0EDB"/>
    <w:rsid w:val="003E11BF"/>
    <w:rsid w:val="003F0317"/>
    <w:rsid w:val="003F3988"/>
    <w:rsid w:val="0040779C"/>
    <w:rsid w:val="00407B4B"/>
    <w:rsid w:val="004104A9"/>
    <w:rsid w:val="00422937"/>
    <w:rsid w:val="0042772A"/>
    <w:rsid w:val="00430341"/>
    <w:rsid w:val="00433308"/>
    <w:rsid w:val="00464D9F"/>
    <w:rsid w:val="00465BA7"/>
    <w:rsid w:val="0047207E"/>
    <w:rsid w:val="00476EC9"/>
    <w:rsid w:val="004A1AFD"/>
    <w:rsid w:val="004B034F"/>
    <w:rsid w:val="004C0312"/>
    <w:rsid w:val="004C0A52"/>
    <w:rsid w:val="004C126A"/>
    <w:rsid w:val="004C6DAB"/>
    <w:rsid w:val="004E6246"/>
    <w:rsid w:val="004F73A8"/>
    <w:rsid w:val="004F7E3C"/>
    <w:rsid w:val="005015A5"/>
    <w:rsid w:val="00504C18"/>
    <w:rsid w:val="0051095A"/>
    <w:rsid w:val="00527F38"/>
    <w:rsid w:val="00531A42"/>
    <w:rsid w:val="00537060"/>
    <w:rsid w:val="00541D72"/>
    <w:rsid w:val="00557822"/>
    <w:rsid w:val="00557AC9"/>
    <w:rsid w:val="005766E6"/>
    <w:rsid w:val="0058653E"/>
    <w:rsid w:val="00587977"/>
    <w:rsid w:val="005977F1"/>
    <w:rsid w:val="005A6113"/>
    <w:rsid w:val="005B65A2"/>
    <w:rsid w:val="005C781E"/>
    <w:rsid w:val="005D4017"/>
    <w:rsid w:val="005E183B"/>
    <w:rsid w:val="00602660"/>
    <w:rsid w:val="00612759"/>
    <w:rsid w:val="00620638"/>
    <w:rsid w:val="00635785"/>
    <w:rsid w:val="00642AA2"/>
    <w:rsid w:val="00652AA7"/>
    <w:rsid w:val="00665154"/>
    <w:rsid w:val="00665372"/>
    <w:rsid w:val="00666723"/>
    <w:rsid w:val="00671C83"/>
    <w:rsid w:val="006745FA"/>
    <w:rsid w:val="00685B8A"/>
    <w:rsid w:val="00693057"/>
    <w:rsid w:val="00693FD6"/>
    <w:rsid w:val="006B29E1"/>
    <w:rsid w:val="006B34C9"/>
    <w:rsid w:val="006B3A66"/>
    <w:rsid w:val="006D1037"/>
    <w:rsid w:val="006D2DDC"/>
    <w:rsid w:val="006F1DC0"/>
    <w:rsid w:val="007062C6"/>
    <w:rsid w:val="00706ED3"/>
    <w:rsid w:val="007157B0"/>
    <w:rsid w:val="0073160D"/>
    <w:rsid w:val="0073496E"/>
    <w:rsid w:val="007434ED"/>
    <w:rsid w:val="00746558"/>
    <w:rsid w:val="007644E7"/>
    <w:rsid w:val="00770759"/>
    <w:rsid w:val="00780587"/>
    <w:rsid w:val="00780E1A"/>
    <w:rsid w:val="00792154"/>
    <w:rsid w:val="00792D17"/>
    <w:rsid w:val="007A15E0"/>
    <w:rsid w:val="007A4972"/>
    <w:rsid w:val="007B30ED"/>
    <w:rsid w:val="007C0E8C"/>
    <w:rsid w:val="007C732C"/>
    <w:rsid w:val="007D2F8E"/>
    <w:rsid w:val="007E5E21"/>
    <w:rsid w:val="007F0B0D"/>
    <w:rsid w:val="00802BAE"/>
    <w:rsid w:val="008035CD"/>
    <w:rsid w:val="00817598"/>
    <w:rsid w:val="00823269"/>
    <w:rsid w:val="0083095B"/>
    <w:rsid w:val="0083275B"/>
    <w:rsid w:val="00832F41"/>
    <w:rsid w:val="00846990"/>
    <w:rsid w:val="00851B75"/>
    <w:rsid w:val="00851E4F"/>
    <w:rsid w:val="00854323"/>
    <w:rsid w:val="0085573F"/>
    <w:rsid w:val="00862CA5"/>
    <w:rsid w:val="00864F70"/>
    <w:rsid w:val="00867BE6"/>
    <w:rsid w:val="008868CA"/>
    <w:rsid w:val="0089448A"/>
    <w:rsid w:val="008A41D3"/>
    <w:rsid w:val="008B66F9"/>
    <w:rsid w:val="008C1117"/>
    <w:rsid w:val="008D76C6"/>
    <w:rsid w:val="008D7BC3"/>
    <w:rsid w:val="008E05C6"/>
    <w:rsid w:val="008E142B"/>
    <w:rsid w:val="008F4E1C"/>
    <w:rsid w:val="00900290"/>
    <w:rsid w:val="00913306"/>
    <w:rsid w:val="00915A7C"/>
    <w:rsid w:val="00924F70"/>
    <w:rsid w:val="0093054A"/>
    <w:rsid w:val="00930AD6"/>
    <w:rsid w:val="00933CE6"/>
    <w:rsid w:val="00941927"/>
    <w:rsid w:val="00944045"/>
    <w:rsid w:val="00945109"/>
    <w:rsid w:val="00946728"/>
    <w:rsid w:val="00947AB9"/>
    <w:rsid w:val="00954280"/>
    <w:rsid w:val="00962BE8"/>
    <w:rsid w:val="00962DE1"/>
    <w:rsid w:val="00964547"/>
    <w:rsid w:val="00970259"/>
    <w:rsid w:val="00970EB0"/>
    <w:rsid w:val="0098084A"/>
    <w:rsid w:val="00980CD6"/>
    <w:rsid w:val="0099357C"/>
    <w:rsid w:val="009943B9"/>
    <w:rsid w:val="009A3BA8"/>
    <w:rsid w:val="009D2C83"/>
    <w:rsid w:val="009E3810"/>
    <w:rsid w:val="009E3849"/>
    <w:rsid w:val="009F6440"/>
    <w:rsid w:val="00A137C9"/>
    <w:rsid w:val="00A143E7"/>
    <w:rsid w:val="00A17460"/>
    <w:rsid w:val="00A24100"/>
    <w:rsid w:val="00A43F42"/>
    <w:rsid w:val="00A52F6A"/>
    <w:rsid w:val="00A56A19"/>
    <w:rsid w:val="00A60BDF"/>
    <w:rsid w:val="00A66327"/>
    <w:rsid w:val="00A72657"/>
    <w:rsid w:val="00A75793"/>
    <w:rsid w:val="00A83E87"/>
    <w:rsid w:val="00A849CD"/>
    <w:rsid w:val="00AA6997"/>
    <w:rsid w:val="00AA7BCB"/>
    <w:rsid w:val="00AB0E10"/>
    <w:rsid w:val="00AB2299"/>
    <w:rsid w:val="00AB289F"/>
    <w:rsid w:val="00AB698E"/>
    <w:rsid w:val="00AC597B"/>
    <w:rsid w:val="00AD439F"/>
    <w:rsid w:val="00AE1BA2"/>
    <w:rsid w:val="00AF2456"/>
    <w:rsid w:val="00B00336"/>
    <w:rsid w:val="00B00608"/>
    <w:rsid w:val="00B227DF"/>
    <w:rsid w:val="00B24BCD"/>
    <w:rsid w:val="00B41B5E"/>
    <w:rsid w:val="00B4360C"/>
    <w:rsid w:val="00B52707"/>
    <w:rsid w:val="00B53716"/>
    <w:rsid w:val="00B56741"/>
    <w:rsid w:val="00B577CB"/>
    <w:rsid w:val="00B83EB4"/>
    <w:rsid w:val="00B8773A"/>
    <w:rsid w:val="00B94279"/>
    <w:rsid w:val="00B94C8E"/>
    <w:rsid w:val="00BA1CD9"/>
    <w:rsid w:val="00BA2FF5"/>
    <w:rsid w:val="00BB229F"/>
    <w:rsid w:val="00BB26FB"/>
    <w:rsid w:val="00BD4A08"/>
    <w:rsid w:val="00BE2601"/>
    <w:rsid w:val="00BE7CE1"/>
    <w:rsid w:val="00C12A8A"/>
    <w:rsid w:val="00C171D5"/>
    <w:rsid w:val="00C24761"/>
    <w:rsid w:val="00C27FA6"/>
    <w:rsid w:val="00C307CF"/>
    <w:rsid w:val="00C31746"/>
    <w:rsid w:val="00C3321A"/>
    <w:rsid w:val="00C35ABE"/>
    <w:rsid w:val="00C46C70"/>
    <w:rsid w:val="00C54F25"/>
    <w:rsid w:val="00C64A55"/>
    <w:rsid w:val="00C757A0"/>
    <w:rsid w:val="00C82095"/>
    <w:rsid w:val="00C96293"/>
    <w:rsid w:val="00CB26CD"/>
    <w:rsid w:val="00CC081F"/>
    <w:rsid w:val="00CC64E0"/>
    <w:rsid w:val="00CD260C"/>
    <w:rsid w:val="00CE526C"/>
    <w:rsid w:val="00D01A14"/>
    <w:rsid w:val="00D03359"/>
    <w:rsid w:val="00D07A5D"/>
    <w:rsid w:val="00D441BA"/>
    <w:rsid w:val="00D45612"/>
    <w:rsid w:val="00D60100"/>
    <w:rsid w:val="00D65F59"/>
    <w:rsid w:val="00D665D3"/>
    <w:rsid w:val="00D752AB"/>
    <w:rsid w:val="00D776C8"/>
    <w:rsid w:val="00D80101"/>
    <w:rsid w:val="00D801EC"/>
    <w:rsid w:val="00D87816"/>
    <w:rsid w:val="00D96401"/>
    <w:rsid w:val="00DA5FCB"/>
    <w:rsid w:val="00DB5FA8"/>
    <w:rsid w:val="00DB6BC0"/>
    <w:rsid w:val="00DD0BEF"/>
    <w:rsid w:val="00DD2045"/>
    <w:rsid w:val="00DD766C"/>
    <w:rsid w:val="00DE747C"/>
    <w:rsid w:val="00DF355C"/>
    <w:rsid w:val="00DF78C5"/>
    <w:rsid w:val="00E0065E"/>
    <w:rsid w:val="00E11608"/>
    <w:rsid w:val="00E34EB2"/>
    <w:rsid w:val="00E57480"/>
    <w:rsid w:val="00E74906"/>
    <w:rsid w:val="00E74B09"/>
    <w:rsid w:val="00E9152D"/>
    <w:rsid w:val="00E94B27"/>
    <w:rsid w:val="00E97457"/>
    <w:rsid w:val="00EA0DC8"/>
    <w:rsid w:val="00EA34B0"/>
    <w:rsid w:val="00EA4CF8"/>
    <w:rsid w:val="00EB0F78"/>
    <w:rsid w:val="00EB3379"/>
    <w:rsid w:val="00EB58BB"/>
    <w:rsid w:val="00EC25AE"/>
    <w:rsid w:val="00EC3140"/>
    <w:rsid w:val="00EC3169"/>
    <w:rsid w:val="00EC41C2"/>
    <w:rsid w:val="00EE5E64"/>
    <w:rsid w:val="00EF2C23"/>
    <w:rsid w:val="00EF5BC2"/>
    <w:rsid w:val="00F00739"/>
    <w:rsid w:val="00F02A99"/>
    <w:rsid w:val="00F1249C"/>
    <w:rsid w:val="00F219DC"/>
    <w:rsid w:val="00F503A2"/>
    <w:rsid w:val="00F508E8"/>
    <w:rsid w:val="00F54C74"/>
    <w:rsid w:val="00F56188"/>
    <w:rsid w:val="00F605FF"/>
    <w:rsid w:val="00F71E34"/>
    <w:rsid w:val="00F87C74"/>
    <w:rsid w:val="00F941E3"/>
    <w:rsid w:val="00F97FED"/>
    <w:rsid w:val="00FC348D"/>
    <w:rsid w:val="00FC5F11"/>
    <w:rsid w:val="00FC61DE"/>
    <w:rsid w:val="00FD5854"/>
    <w:rsid w:val="00FD795B"/>
    <w:rsid w:val="00F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AB7791FF-B1A4-4801-BAE0-E485F1EC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964547"/>
    <w:rPr>
      <w:sz w:val="18"/>
      <w:szCs w:val="18"/>
    </w:rPr>
  </w:style>
  <w:style w:type="paragraph" w:styleId="af3">
    <w:name w:val="annotation text"/>
    <w:basedOn w:val="a"/>
    <w:semiHidden/>
    <w:rsid w:val="00964547"/>
    <w:pPr>
      <w:jc w:val="left"/>
    </w:pPr>
  </w:style>
  <w:style w:type="paragraph" w:styleId="af4">
    <w:name w:val="annotation subject"/>
    <w:basedOn w:val="af3"/>
    <w:next w:val="af3"/>
    <w:semiHidden/>
    <w:rsid w:val="00964547"/>
    <w:rPr>
      <w:b/>
      <w:bCs/>
    </w:rPr>
  </w:style>
  <w:style w:type="paragraph" w:styleId="Web">
    <w:name w:val="Normal (Web)"/>
    <w:basedOn w:val="a"/>
    <w:uiPriority w:val="99"/>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5">
    <w:name w:val="line number"/>
    <w:rsid w:val="0085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5195">
      <w:bodyDiv w:val="1"/>
      <w:marLeft w:val="0"/>
      <w:marRight w:val="0"/>
      <w:marTop w:val="0"/>
      <w:marBottom w:val="0"/>
      <w:divBdr>
        <w:top w:val="none" w:sz="0" w:space="0" w:color="auto"/>
        <w:left w:val="none" w:sz="0" w:space="0" w:color="auto"/>
        <w:bottom w:val="none" w:sz="0" w:space="0" w:color="auto"/>
        <w:right w:val="none" w:sz="0" w:space="0" w:color="auto"/>
      </w:divBdr>
    </w:div>
    <w:div w:id="879131816">
      <w:bodyDiv w:val="1"/>
      <w:marLeft w:val="0"/>
      <w:marRight w:val="0"/>
      <w:marTop w:val="0"/>
      <w:marBottom w:val="0"/>
      <w:divBdr>
        <w:top w:val="none" w:sz="0" w:space="0" w:color="auto"/>
        <w:left w:val="none" w:sz="0" w:space="0" w:color="auto"/>
        <w:bottom w:val="none" w:sz="0" w:space="0" w:color="auto"/>
        <w:right w:val="none" w:sz="0" w:space="0" w:color="auto"/>
      </w:divBdr>
      <w:divsChild>
        <w:div w:id="4014941">
          <w:marLeft w:val="230"/>
          <w:marRight w:val="0"/>
          <w:marTop w:val="0"/>
          <w:marBottom w:val="0"/>
          <w:divBdr>
            <w:top w:val="none" w:sz="0" w:space="0" w:color="auto"/>
            <w:left w:val="none" w:sz="0" w:space="0" w:color="auto"/>
            <w:bottom w:val="none" w:sz="0" w:space="0" w:color="auto"/>
            <w:right w:val="none" w:sz="0" w:space="0" w:color="auto"/>
          </w:divBdr>
        </w:div>
        <w:div w:id="21788207">
          <w:marLeft w:val="460"/>
          <w:marRight w:val="0"/>
          <w:marTop w:val="0"/>
          <w:marBottom w:val="0"/>
          <w:divBdr>
            <w:top w:val="none" w:sz="0" w:space="0" w:color="auto"/>
            <w:left w:val="none" w:sz="0" w:space="0" w:color="auto"/>
            <w:bottom w:val="none" w:sz="0" w:space="0" w:color="auto"/>
            <w:right w:val="none" w:sz="0" w:space="0" w:color="auto"/>
          </w:divBdr>
        </w:div>
        <w:div w:id="55856291">
          <w:marLeft w:val="920"/>
          <w:marRight w:val="0"/>
          <w:marTop w:val="0"/>
          <w:marBottom w:val="0"/>
          <w:divBdr>
            <w:top w:val="none" w:sz="0" w:space="0" w:color="auto"/>
            <w:left w:val="none" w:sz="0" w:space="0" w:color="auto"/>
            <w:bottom w:val="none" w:sz="0" w:space="0" w:color="auto"/>
            <w:right w:val="none" w:sz="0" w:space="0" w:color="auto"/>
          </w:divBdr>
        </w:div>
        <w:div w:id="100498718">
          <w:marLeft w:val="460"/>
          <w:marRight w:val="0"/>
          <w:marTop w:val="0"/>
          <w:marBottom w:val="0"/>
          <w:divBdr>
            <w:top w:val="none" w:sz="0" w:space="0" w:color="auto"/>
            <w:left w:val="none" w:sz="0" w:space="0" w:color="auto"/>
            <w:bottom w:val="none" w:sz="0" w:space="0" w:color="auto"/>
            <w:right w:val="none" w:sz="0" w:space="0" w:color="auto"/>
          </w:divBdr>
        </w:div>
        <w:div w:id="192036103">
          <w:marLeft w:val="460"/>
          <w:marRight w:val="0"/>
          <w:marTop w:val="0"/>
          <w:marBottom w:val="0"/>
          <w:divBdr>
            <w:top w:val="none" w:sz="0" w:space="0" w:color="auto"/>
            <w:left w:val="none" w:sz="0" w:space="0" w:color="auto"/>
            <w:bottom w:val="none" w:sz="0" w:space="0" w:color="auto"/>
            <w:right w:val="none" w:sz="0" w:space="0" w:color="auto"/>
          </w:divBdr>
        </w:div>
        <w:div w:id="237062008">
          <w:marLeft w:val="0"/>
          <w:marRight w:val="0"/>
          <w:marTop w:val="0"/>
          <w:marBottom w:val="0"/>
          <w:divBdr>
            <w:top w:val="none" w:sz="0" w:space="0" w:color="auto"/>
            <w:left w:val="none" w:sz="0" w:space="0" w:color="auto"/>
            <w:bottom w:val="none" w:sz="0" w:space="0" w:color="auto"/>
            <w:right w:val="none" w:sz="0" w:space="0" w:color="auto"/>
          </w:divBdr>
        </w:div>
        <w:div w:id="286013734">
          <w:marLeft w:val="230"/>
          <w:marRight w:val="0"/>
          <w:marTop w:val="0"/>
          <w:marBottom w:val="0"/>
          <w:divBdr>
            <w:top w:val="none" w:sz="0" w:space="0" w:color="auto"/>
            <w:left w:val="none" w:sz="0" w:space="0" w:color="auto"/>
            <w:bottom w:val="none" w:sz="0" w:space="0" w:color="auto"/>
            <w:right w:val="none" w:sz="0" w:space="0" w:color="auto"/>
          </w:divBdr>
        </w:div>
        <w:div w:id="287123811">
          <w:marLeft w:val="0"/>
          <w:marRight w:val="0"/>
          <w:marTop w:val="0"/>
          <w:marBottom w:val="0"/>
          <w:divBdr>
            <w:top w:val="none" w:sz="0" w:space="0" w:color="auto"/>
            <w:left w:val="none" w:sz="0" w:space="0" w:color="auto"/>
            <w:bottom w:val="none" w:sz="0" w:space="0" w:color="auto"/>
            <w:right w:val="none" w:sz="0" w:space="0" w:color="auto"/>
          </w:divBdr>
        </w:div>
        <w:div w:id="330988816">
          <w:marLeft w:val="0"/>
          <w:marRight w:val="0"/>
          <w:marTop w:val="0"/>
          <w:marBottom w:val="0"/>
          <w:divBdr>
            <w:top w:val="none" w:sz="0" w:space="0" w:color="auto"/>
            <w:left w:val="none" w:sz="0" w:space="0" w:color="auto"/>
            <w:bottom w:val="none" w:sz="0" w:space="0" w:color="auto"/>
            <w:right w:val="none" w:sz="0" w:space="0" w:color="auto"/>
          </w:divBdr>
        </w:div>
        <w:div w:id="405537210">
          <w:marLeft w:val="690"/>
          <w:marRight w:val="0"/>
          <w:marTop w:val="0"/>
          <w:marBottom w:val="0"/>
          <w:divBdr>
            <w:top w:val="none" w:sz="0" w:space="0" w:color="auto"/>
            <w:left w:val="none" w:sz="0" w:space="0" w:color="auto"/>
            <w:bottom w:val="none" w:sz="0" w:space="0" w:color="auto"/>
            <w:right w:val="none" w:sz="0" w:space="0" w:color="auto"/>
          </w:divBdr>
        </w:div>
        <w:div w:id="425074522">
          <w:marLeft w:val="920"/>
          <w:marRight w:val="0"/>
          <w:marTop w:val="0"/>
          <w:marBottom w:val="0"/>
          <w:divBdr>
            <w:top w:val="none" w:sz="0" w:space="0" w:color="auto"/>
            <w:left w:val="none" w:sz="0" w:space="0" w:color="auto"/>
            <w:bottom w:val="none" w:sz="0" w:space="0" w:color="auto"/>
            <w:right w:val="none" w:sz="0" w:space="0" w:color="auto"/>
          </w:divBdr>
        </w:div>
        <w:div w:id="454444631">
          <w:marLeft w:val="920"/>
          <w:marRight w:val="0"/>
          <w:marTop w:val="0"/>
          <w:marBottom w:val="0"/>
          <w:divBdr>
            <w:top w:val="none" w:sz="0" w:space="0" w:color="auto"/>
            <w:left w:val="none" w:sz="0" w:space="0" w:color="auto"/>
            <w:bottom w:val="none" w:sz="0" w:space="0" w:color="auto"/>
            <w:right w:val="none" w:sz="0" w:space="0" w:color="auto"/>
          </w:divBdr>
        </w:div>
        <w:div w:id="479736757">
          <w:marLeft w:val="690"/>
          <w:marRight w:val="0"/>
          <w:marTop w:val="0"/>
          <w:marBottom w:val="0"/>
          <w:divBdr>
            <w:top w:val="none" w:sz="0" w:space="0" w:color="auto"/>
            <w:left w:val="none" w:sz="0" w:space="0" w:color="auto"/>
            <w:bottom w:val="none" w:sz="0" w:space="0" w:color="auto"/>
            <w:right w:val="none" w:sz="0" w:space="0" w:color="auto"/>
          </w:divBdr>
        </w:div>
        <w:div w:id="679627608">
          <w:marLeft w:val="460"/>
          <w:marRight w:val="0"/>
          <w:marTop w:val="0"/>
          <w:marBottom w:val="0"/>
          <w:divBdr>
            <w:top w:val="none" w:sz="0" w:space="0" w:color="auto"/>
            <w:left w:val="none" w:sz="0" w:space="0" w:color="auto"/>
            <w:bottom w:val="none" w:sz="0" w:space="0" w:color="auto"/>
            <w:right w:val="none" w:sz="0" w:space="0" w:color="auto"/>
          </w:divBdr>
        </w:div>
        <w:div w:id="700715302">
          <w:marLeft w:val="230"/>
          <w:marRight w:val="0"/>
          <w:marTop w:val="0"/>
          <w:marBottom w:val="0"/>
          <w:divBdr>
            <w:top w:val="none" w:sz="0" w:space="0" w:color="auto"/>
            <w:left w:val="none" w:sz="0" w:space="0" w:color="auto"/>
            <w:bottom w:val="none" w:sz="0" w:space="0" w:color="auto"/>
            <w:right w:val="none" w:sz="0" w:space="0" w:color="auto"/>
          </w:divBdr>
        </w:div>
        <w:div w:id="701126835">
          <w:marLeft w:val="230"/>
          <w:marRight w:val="0"/>
          <w:marTop w:val="0"/>
          <w:marBottom w:val="0"/>
          <w:divBdr>
            <w:top w:val="none" w:sz="0" w:space="0" w:color="auto"/>
            <w:left w:val="none" w:sz="0" w:space="0" w:color="auto"/>
            <w:bottom w:val="none" w:sz="0" w:space="0" w:color="auto"/>
            <w:right w:val="none" w:sz="0" w:space="0" w:color="auto"/>
          </w:divBdr>
        </w:div>
        <w:div w:id="757943368">
          <w:marLeft w:val="0"/>
          <w:marRight w:val="0"/>
          <w:marTop w:val="0"/>
          <w:marBottom w:val="0"/>
          <w:divBdr>
            <w:top w:val="none" w:sz="0" w:space="0" w:color="auto"/>
            <w:left w:val="none" w:sz="0" w:space="0" w:color="auto"/>
            <w:bottom w:val="none" w:sz="0" w:space="0" w:color="auto"/>
            <w:right w:val="none" w:sz="0" w:space="0" w:color="auto"/>
          </w:divBdr>
        </w:div>
        <w:div w:id="765464652">
          <w:marLeft w:val="230"/>
          <w:marRight w:val="0"/>
          <w:marTop w:val="0"/>
          <w:marBottom w:val="0"/>
          <w:divBdr>
            <w:top w:val="none" w:sz="0" w:space="0" w:color="auto"/>
            <w:left w:val="none" w:sz="0" w:space="0" w:color="auto"/>
            <w:bottom w:val="none" w:sz="0" w:space="0" w:color="auto"/>
            <w:right w:val="none" w:sz="0" w:space="0" w:color="auto"/>
          </w:divBdr>
        </w:div>
        <w:div w:id="791555584">
          <w:marLeft w:val="0"/>
          <w:marRight w:val="0"/>
          <w:marTop w:val="0"/>
          <w:marBottom w:val="0"/>
          <w:divBdr>
            <w:top w:val="none" w:sz="0" w:space="0" w:color="auto"/>
            <w:left w:val="none" w:sz="0" w:space="0" w:color="auto"/>
            <w:bottom w:val="none" w:sz="0" w:space="0" w:color="auto"/>
            <w:right w:val="none" w:sz="0" w:space="0" w:color="auto"/>
          </w:divBdr>
        </w:div>
        <w:div w:id="880245929">
          <w:marLeft w:val="230"/>
          <w:marRight w:val="0"/>
          <w:marTop w:val="0"/>
          <w:marBottom w:val="0"/>
          <w:divBdr>
            <w:top w:val="none" w:sz="0" w:space="0" w:color="auto"/>
            <w:left w:val="none" w:sz="0" w:space="0" w:color="auto"/>
            <w:bottom w:val="none" w:sz="0" w:space="0" w:color="auto"/>
            <w:right w:val="none" w:sz="0" w:space="0" w:color="auto"/>
          </w:divBdr>
        </w:div>
        <w:div w:id="1106844966">
          <w:marLeft w:val="230"/>
          <w:marRight w:val="0"/>
          <w:marTop w:val="0"/>
          <w:marBottom w:val="0"/>
          <w:divBdr>
            <w:top w:val="none" w:sz="0" w:space="0" w:color="auto"/>
            <w:left w:val="none" w:sz="0" w:space="0" w:color="auto"/>
            <w:bottom w:val="none" w:sz="0" w:space="0" w:color="auto"/>
            <w:right w:val="none" w:sz="0" w:space="0" w:color="auto"/>
          </w:divBdr>
        </w:div>
        <w:div w:id="1156386004">
          <w:marLeft w:val="0"/>
          <w:marRight w:val="0"/>
          <w:marTop w:val="0"/>
          <w:marBottom w:val="0"/>
          <w:divBdr>
            <w:top w:val="none" w:sz="0" w:space="0" w:color="auto"/>
            <w:left w:val="none" w:sz="0" w:space="0" w:color="auto"/>
            <w:bottom w:val="none" w:sz="0" w:space="0" w:color="auto"/>
            <w:right w:val="none" w:sz="0" w:space="0" w:color="auto"/>
          </w:divBdr>
        </w:div>
        <w:div w:id="1176503144">
          <w:marLeft w:val="0"/>
          <w:marRight w:val="0"/>
          <w:marTop w:val="0"/>
          <w:marBottom w:val="0"/>
          <w:divBdr>
            <w:top w:val="none" w:sz="0" w:space="0" w:color="auto"/>
            <w:left w:val="none" w:sz="0" w:space="0" w:color="auto"/>
            <w:bottom w:val="none" w:sz="0" w:space="0" w:color="auto"/>
            <w:right w:val="none" w:sz="0" w:space="0" w:color="auto"/>
          </w:divBdr>
        </w:div>
        <w:div w:id="1227031752">
          <w:marLeft w:val="230"/>
          <w:marRight w:val="0"/>
          <w:marTop w:val="0"/>
          <w:marBottom w:val="0"/>
          <w:divBdr>
            <w:top w:val="none" w:sz="0" w:space="0" w:color="auto"/>
            <w:left w:val="none" w:sz="0" w:space="0" w:color="auto"/>
            <w:bottom w:val="none" w:sz="0" w:space="0" w:color="auto"/>
            <w:right w:val="none" w:sz="0" w:space="0" w:color="auto"/>
          </w:divBdr>
        </w:div>
        <w:div w:id="1258440886">
          <w:marLeft w:val="0"/>
          <w:marRight w:val="0"/>
          <w:marTop w:val="0"/>
          <w:marBottom w:val="0"/>
          <w:divBdr>
            <w:top w:val="none" w:sz="0" w:space="0" w:color="auto"/>
            <w:left w:val="none" w:sz="0" w:space="0" w:color="auto"/>
            <w:bottom w:val="none" w:sz="0" w:space="0" w:color="auto"/>
            <w:right w:val="none" w:sz="0" w:space="0" w:color="auto"/>
          </w:divBdr>
        </w:div>
        <w:div w:id="1309162421">
          <w:marLeft w:val="920"/>
          <w:marRight w:val="0"/>
          <w:marTop w:val="0"/>
          <w:marBottom w:val="0"/>
          <w:divBdr>
            <w:top w:val="none" w:sz="0" w:space="0" w:color="auto"/>
            <w:left w:val="none" w:sz="0" w:space="0" w:color="auto"/>
            <w:bottom w:val="none" w:sz="0" w:space="0" w:color="auto"/>
            <w:right w:val="none" w:sz="0" w:space="0" w:color="auto"/>
          </w:divBdr>
        </w:div>
        <w:div w:id="1373187128">
          <w:marLeft w:val="0"/>
          <w:marRight w:val="0"/>
          <w:marTop w:val="0"/>
          <w:marBottom w:val="0"/>
          <w:divBdr>
            <w:top w:val="none" w:sz="0" w:space="0" w:color="auto"/>
            <w:left w:val="none" w:sz="0" w:space="0" w:color="auto"/>
            <w:bottom w:val="none" w:sz="0" w:space="0" w:color="auto"/>
            <w:right w:val="none" w:sz="0" w:space="0" w:color="auto"/>
          </w:divBdr>
        </w:div>
        <w:div w:id="1387685996">
          <w:marLeft w:val="230"/>
          <w:marRight w:val="0"/>
          <w:marTop w:val="0"/>
          <w:marBottom w:val="0"/>
          <w:divBdr>
            <w:top w:val="none" w:sz="0" w:space="0" w:color="auto"/>
            <w:left w:val="none" w:sz="0" w:space="0" w:color="auto"/>
            <w:bottom w:val="none" w:sz="0" w:space="0" w:color="auto"/>
            <w:right w:val="none" w:sz="0" w:space="0" w:color="auto"/>
          </w:divBdr>
        </w:div>
        <w:div w:id="1397510563">
          <w:marLeft w:val="230"/>
          <w:marRight w:val="0"/>
          <w:marTop w:val="0"/>
          <w:marBottom w:val="0"/>
          <w:divBdr>
            <w:top w:val="none" w:sz="0" w:space="0" w:color="auto"/>
            <w:left w:val="none" w:sz="0" w:space="0" w:color="auto"/>
            <w:bottom w:val="none" w:sz="0" w:space="0" w:color="auto"/>
            <w:right w:val="none" w:sz="0" w:space="0" w:color="auto"/>
          </w:divBdr>
        </w:div>
        <w:div w:id="1409033334">
          <w:marLeft w:val="230"/>
          <w:marRight w:val="0"/>
          <w:marTop w:val="0"/>
          <w:marBottom w:val="0"/>
          <w:divBdr>
            <w:top w:val="none" w:sz="0" w:space="0" w:color="auto"/>
            <w:left w:val="none" w:sz="0" w:space="0" w:color="auto"/>
            <w:bottom w:val="none" w:sz="0" w:space="0" w:color="auto"/>
            <w:right w:val="none" w:sz="0" w:space="0" w:color="auto"/>
          </w:divBdr>
        </w:div>
        <w:div w:id="1428576371">
          <w:marLeft w:val="690"/>
          <w:marRight w:val="0"/>
          <w:marTop w:val="0"/>
          <w:marBottom w:val="0"/>
          <w:divBdr>
            <w:top w:val="none" w:sz="0" w:space="0" w:color="auto"/>
            <w:left w:val="none" w:sz="0" w:space="0" w:color="auto"/>
            <w:bottom w:val="none" w:sz="0" w:space="0" w:color="auto"/>
            <w:right w:val="none" w:sz="0" w:space="0" w:color="auto"/>
          </w:divBdr>
        </w:div>
        <w:div w:id="1533609741">
          <w:marLeft w:val="230"/>
          <w:marRight w:val="0"/>
          <w:marTop w:val="0"/>
          <w:marBottom w:val="0"/>
          <w:divBdr>
            <w:top w:val="none" w:sz="0" w:space="0" w:color="auto"/>
            <w:left w:val="none" w:sz="0" w:space="0" w:color="auto"/>
            <w:bottom w:val="none" w:sz="0" w:space="0" w:color="auto"/>
            <w:right w:val="none" w:sz="0" w:space="0" w:color="auto"/>
          </w:divBdr>
        </w:div>
        <w:div w:id="1533811348">
          <w:marLeft w:val="460"/>
          <w:marRight w:val="0"/>
          <w:marTop w:val="0"/>
          <w:marBottom w:val="0"/>
          <w:divBdr>
            <w:top w:val="none" w:sz="0" w:space="0" w:color="auto"/>
            <w:left w:val="none" w:sz="0" w:space="0" w:color="auto"/>
            <w:bottom w:val="none" w:sz="0" w:space="0" w:color="auto"/>
            <w:right w:val="none" w:sz="0" w:space="0" w:color="auto"/>
          </w:divBdr>
        </w:div>
        <w:div w:id="1565028199">
          <w:marLeft w:val="230"/>
          <w:marRight w:val="0"/>
          <w:marTop w:val="0"/>
          <w:marBottom w:val="0"/>
          <w:divBdr>
            <w:top w:val="none" w:sz="0" w:space="0" w:color="auto"/>
            <w:left w:val="none" w:sz="0" w:space="0" w:color="auto"/>
            <w:bottom w:val="none" w:sz="0" w:space="0" w:color="auto"/>
            <w:right w:val="none" w:sz="0" w:space="0" w:color="auto"/>
          </w:divBdr>
        </w:div>
        <w:div w:id="1571647225">
          <w:marLeft w:val="230"/>
          <w:marRight w:val="0"/>
          <w:marTop w:val="0"/>
          <w:marBottom w:val="0"/>
          <w:divBdr>
            <w:top w:val="none" w:sz="0" w:space="0" w:color="auto"/>
            <w:left w:val="none" w:sz="0" w:space="0" w:color="auto"/>
            <w:bottom w:val="none" w:sz="0" w:space="0" w:color="auto"/>
            <w:right w:val="none" w:sz="0" w:space="0" w:color="auto"/>
          </w:divBdr>
        </w:div>
        <w:div w:id="1644893452">
          <w:marLeft w:val="230"/>
          <w:marRight w:val="0"/>
          <w:marTop w:val="0"/>
          <w:marBottom w:val="0"/>
          <w:divBdr>
            <w:top w:val="none" w:sz="0" w:space="0" w:color="auto"/>
            <w:left w:val="none" w:sz="0" w:space="0" w:color="auto"/>
            <w:bottom w:val="none" w:sz="0" w:space="0" w:color="auto"/>
            <w:right w:val="none" w:sz="0" w:space="0" w:color="auto"/>
          </w:divBdr>
        </w:div>
        <w:div w:id="1648850681">
          <w:marLeft w:val="0"/>
          <w:marRight w:val="0"/>
          <w:marTop w:val="0"/>
          <w:marBottom w:val="0"/>
          <w:divBdr>
            <w:top w:val="none" w:sz="0" w:space="0" w:color="auto"/>
            <w:left w:val="none" w:sz="0" w:space="0" w:color="auto"/>
            <w:bottom w:val="none" w:sz="0" w:space="0" w:color="auto"/>
            <w:right w:val="none" w:sz="0" w:space="0" w:color="auto"/>
          </w:divBdr>
        </w:div>
        <w:div w:id="1680306033">
          <w:marLeft w:val="0"/>
          <w:marRight w:val="0"/>
          <w:marTop w:val="0"/>
          <w:marBottom w:val="0"/>
          <w:divBdr>
            <w:top w:val="none" w:sz="0" w:space="0" w:color="auto"/>
            <w:left w:val="none" w:sz="0" w:space="0" w:color="auto"/>
            <w:bottom w:val="none" w:sz="0" w:space="0" w:color="auto"/>
            <w:right w:val="none" w:sz="0" w:space="0" w:color="auto"/>
          </w:divBdr>
        </w:div>
        <w:div w:id="1711808398">
          <w:marLeft w:val="230"/>
          <w:marRight w:val="0"/>
          <w:marTop w:val="0"/>
          <w:marBottom w:val="0"/>
          <w:divBdr>
            <w:top w:val="none" w:sz="0" w:space="0" w:color="auto"/>
            <w:left w:val="none" w:sz="0" w:space="0" w:color="auto"/>
            <w:bottom w:val="none" w:sz="0" w:space="0" w:color="auto"/>
            <w:right w:val="none" w:sz="0" w:space="0" w:color="auto"/>
          </w:divBdr>
        </w:div>
        <w:div w:id="1730953896">
          <w:marLeft w:val="0"/>
          <w:marRight w:val="0"/>
          <w:marTop w:val="0"/>
          <w:marBottom w:val="0"/>
          <w:divBdr>
            <w:top w:val="none" w:sz="0" w:space="0" w:color="auto"/>
            <w:left w:val="none" w:sz="0" w:space="0" w:color="auto"/>
            <w:bottom w:val="none" w:sz="0" w:space="0" w:color="auto"/>
            <w:right w:val="none" w:sz="0" w:space="0" w:color="auto"/>
          </w:divBdr>
        </w:div>
        <w:div w:id="1747536862">
          <w:marLeft w:val="230"/>
          <w:marRight w:val="0"/>
          <w:marTop w:val="0"/>
          <w:marBottom w:val="0"/>
          <w:divBdr>
            <w:top w:val="none" w:sz="0" w:space="0" w:color="auto"/>
            <w:left w:val="none" w:sz="0" w:space="0" w:color="auto"/>
            <w:bottom w:val="none" w:sz="0" w:space="0" w:color="auto"/>
            <w:right w:val="none" w:sz="0" w:space="0" w:color="auto"/>
          </w:divBdr>
        </w:div>
        <w:div w:id="1775201528">
          <w:marLeft w:val="920"/>
          <w:marRight w:val="0"/>
          <w:marTop w:val="0"/>
          <w:marBottom w:val="0"/>
          <w:divBdr>
            <w:top w:val="none" w:sz="0" w:space="0" w:color="auto"/>
            <w:left w:val="none" w:sz="0" w:space="0" w:color="auto"/>
            <w:bottom w:val="none" w:sz="0" w:space="0" w:color="auto"/>
            <w:right w:val="none" w:sz="0" w:space="0" w:color="auto"/>
          </w:divBdr>
        </w:div>
        <w:div w:id="1845707451">
          <w:marLeft w:val="0"/>
          <w:marRight w:val="0"/>
          <w:marTop w:val="0"/>
          <w:marBottom w:val="0"/>
          <w:divBdr>
            <w:top w:val="none" w:sz="0" w:space="0" w:color="auto"/>
            <w:left w:val="none" w:sz="0" w:space="0" w:color="auto"/>
            <w:bottom w:val="none" w:sz="0" w:space="0" w:color="auto"/>
            <w:right w:val="none" w:sz="0" w:space="0" w:color="auto"/>
          </w:divBdr>
        </w:div>
        <w:div w:id="1846360757">
          <w:marLeft w:val="920"/>
          <w:marRight w:val="0"/>
          <w:marTop w:val="0"/>
          <w:marBottom w:val="0"/>
          <w:divBdr>
            <w:top w:val="none" w:sz="0" w:space="0" w:color="auto"/>
            <w:left w:val="none" w:sz="0" w:space="0" w:color="auto"/>
            <w:bottom w:val="none" w:sz="0" w:space="0" w:color="auto"/>
            <w:right w:val="none" w:sz="0" w:space="0" w:color="auto"/>
          </w:divBdr>
        </w:div>
        <w:div w:id="1866479318">
          <w:marLeft w:val="0"/>
          <w:marRight w:val="0"/>
          <w:marTop w:val="0"/>
          <w:marBottom w:val="0"/>
          <w:divBdr>
            <w:top w:val="none" w:sz="0" w:space="0" w:color="auto"/>
            <w:left w:val="none" w:sz="0" w:space="0" w:color="auto"/>
            <w:bottom w:val="none" w:sz="0" w:space="0" w:color="auto"/>
            <w:right w:val="none" w:sz="0" w:space="0" w:color="auto"/>
          </w:divBdr>
        </w:div>
        <w:div w:id="1871259209">
          <w:marLeft w:val="0"/>
          <w:marRight w:val="0"/>
          <w:marTop w:val="0"/>
          <w:marBottom w:val="0"/>
          <w:divBdr>
            <w:top w:val="none" w:sz="0" w:space="0" w:color="auto"/>
            <w:left w:val="none" w:sz="0" w:space="0" w:color="auto"/>
            <w:bottom w:val="none" w:sz="0" w:space="0" w:color="auto"/>
            <w:right w:val="none" w:sz="0" w:space="0" w:color="auto"/>
          </w:divBdr>
        </w:div>
        <w:div w:id="1921480433">
          <w:marLeft w:val="920"/>
          <w:marRight w:val="0"/>
          <w:marTop w:val="0"/>
          <w:marBottom w:val="0"/>
          <w:divBdr>
            <w:top w:val="none" w:sz="0" w:space="0" w:color="auto"/>
            <w:left w:val="none" w:sz="0" w:space="0" w:color="auto"/>
            <w:bottom w:val="none" w:sz="0" w:space="0" w:color="auto"/>
            <w:right w:val="none" w:sz="0" w:space="0" w:color="auto"/>
          </w:divBdr>
        </w:div>
        <w:div w:id="1944026546">
          <w:marLeft w:val="920"/>
          <w:marRight w:val="0"/>
          <w:marTop w:val="0"/>
          <w:marBottom w:val="0"/>
          <w:divBdr>
            <w:top w:val="none" w:sz="0" w:space="0" w:color="auto"/>
            <w:left w:val="none" w:sz="0" w:space="0" w:color="auto"/>
            <w:bottom w:val="none" w:sz="0" w:space="0" w:color="auto"/>
            <w:right w:val="none" w:sz="0" w:space="0" w:color="auto"/>
          </w:divBdr>
        </w:div>
        <w:div w:id="2008092658">
          <w:marLeft w:val="230"/>
          <w:marRight w:val="0"/>
          <w:marTop w:val="0"/>
          <w:marBottom w:val="0"/>
          <w:divBdr>
            <w:top w:val="none" w:sz="0" w:space="0" w:color="auto"/>
            <w:left w:val="none" w:sz="0" w:space="0" w:color="auto"/>
            <w:bottom w:val="none" w:sz="0" w:space="0" w:color="auto"/>
            <w:right w:val="none" w:sz="0" w:space="0" w:color="auto"/>
          </w:divBdr>
        </w:div>
        <w:div w:id="2035497193">
          <w:marLeft w:val="230"/>
          <w:marRight w:val="0"/>
          <w:marTop w:val="0"/>
          <w:marBottom w:val="0"/>
          <w:divBdr>
            <w:top w:val="none" w:sz="0" w:space="0" w:color="auto"/>
            <w:left w:val="none" w:sz="0" w:space="0" w:color="auto"/>
            <w:bottom w:val="none" w:sz="0" w:space="0" w:color="auto"/>
            <w:right w:val="none" w:sz="0" w:space="0" w:color="auto"/>
          </w:divBdr>
        </w:div>
        <w:div w:id="2122650948">
          <w:marLeft w:val="460"/>
          <w:marRight w:val="0"/>
          <w:marTop w:val="0"/>
          <w:marBottom w:val="0"/>
          <w:divBdr>
            <w:top w:val="none" w:sz="0" w:space="0" w:color="auto"/>
            <w:left w:val="none" w:sz="0" w:space="0" w:color="auto"/>
            <w:bottom w:val="none" w:sz="0" w:space="0" w:color="auto"/>
            <w:right w:val="none" w:sz="0" w:space="0" w:color="auto"/>
          </w:divBdr>
        </w:div>
      </w:divsChild>
    </w:div>
    <w:div w:id="1681732581">
      <w:bodyDiv w:val="1"/>
      <w:marLeft w:val="0"/>
      <w:marRight w:val="0"/>
      <w:marTop w:val="0"/>
      <w:marBottom w:val="0"/>
      <w:divBdr>
        <w:top w:val="none" w:sz="0" w:space="0" w:color="auto"/>
        <w:left w:val="none" w:sz="0" w:space="0" w:color="auto"/>
        <w:bottom w:val="none" w:sz="0" w:space="0" w:color="auto"/>
        <w:right w:val="none" w:sz="0" w:space="0" w:color="auto"/>
      </w:divBdr>
    </w:div>
    <w:div w:id="1768959757">
      <w:bodyDiv w:val="1"/>
      <w:marLeft w:val="0"/>
      <w:marRight w:val="0"/>
      <w:marTop w:val="0"/>
      <w:marBottom w:val="0"/>
      <w:divBdr>
        <w:top w:val="none" w:sz="0" w:space="0" w:color="auto"/>
        <w:left w:val="none" w:sz="0" w:space="0" w:color="auto"/>
        <w:bottom w:val="none" w:sz="0" w:space="0" w:color="auto"/>
        <w:right w:val="none" w:sz="0" w:space="0" w:color="auto"/>
      </w:divBdr>
    </w:div>
    <w:div w:id="1842818032">
      <w:bodyDiv w:val="1"/>
      <w:marLeft w:val="0"/>
      <w:marRight w:val="0"/>
      <w:marTop w:val="0"/>
      <w:marBottom w:val="0"/>
      <w:divBdr>
        <w:top w:val="none" w:sz="0" w:space="0" w:color="auto"/>
        <w:left w:val="none" w:sz="0" w:space="0" w:color="auto"/>
        <w:bottom w:val="none" w:sz="0" w:space="0" w:color="auto"/>
        <w:right w:val="none" w:sz="0" w:space="0" w:color="auto"/>
      </w:divBdr>
      <w:divsChild>
        <w:div w:id="58335528">
          <w:marLeft w:val="460"/>
          <w:marRight w:val="0"/>
          <w:marTop w:val="0"/>
          <w:marBottom w:val="0"/>
          <w:divBdr>
            <w:top w:val="none" w:sz="0" w:space="0" w:color="auto"/>
            <w:left w:val="none" w:sz="0" w:space="0" w:color="auto"/>
            <w:bottom w:val="none" w:sz="0" w:space="0" w:color="auto"/>
            <w:right w:val="none" w:sz="0" w:space="0" w:color="auto"/>
          </w:divBdr>
        </w:div>
        <w:div w:id="87384031">
          <w:marLeft w:val="920"/>
          <w:marRight w:val="0"/>
          <w:marTop w:val="0"/>
          <w:marBottom w:val="0"/>
          <w:divBdr>
            <w:top w:val="none" w:sz="0" w:space="0" w:color="auto"/>
            <w:left w:val="none" w:sz="0" w:space="0" w:color="auto"/>
            <w:bottom w:val="none" w:sz="0" w:space="0" w:color="auto"/>
            <w:right w:val="none" w:sz="0" w:space="0" w:color="auto"/>
          </w:divBdr>
        </w:div>
        <w:div w:id="119150616">
          <w:marLeft w:val="920"/>
          <w:marRight w:val="0"/>
          <w:marTop w:val="0"/>
          <w:marBottom w:val="0"/>
          <w:divBdr>
            <w:top w:val="none" w:sz="0" w:space="0" w:color="auto"/>
            <w:left w:val="none" w:sz="0" w:space="0" w:color="auto"/>
            <w:bottom w:val="none" w:sz="0" w:space="0" w:color="auto"/>
            <w:right w:val="none" w:sz="0" w:space="0" w:color="auto"/>
          </w:divBdr>
        </w:div>
        <w:div w:id="176770194">
          <w:marLeft w:val="0"/>
          <w:marRight w:val="0"/>
          <w:marTop w:val="0"/>
          <w:marBottom w:val="0"/>
          <w:divBdr>
            <w:top w:val="none" w:sz="0" w:space="0" w:color="auto"/>
            <w:left w:val="none" w:sz="0" w:space="0" w:color="auto"/>
            <w:bottom w:val="none" w:sz="0" w:space="0" w:color="auto"/>
            <w:right w:val="none" w:sz="0" w:space="0" w:color="auto"/>
          </w:divBdr>
        </w:div>
        <w:div w:id="349767115">
          <w:marLeft w:val="690"/>
          <w:marRight w:val="0"/>
          <w:marTop w:val="0"/>
          <w:marBottom w:val="0"/>
          <w:divBdr>
            <w:top w:val="none" w:sz="0" w:space="0" w:color="auto"/>
            <w:left w:val="none" w:sz="0" w:space="0" w:color="auto"/>
            <w:bottom w:val="none" w:sz="0" w:space="0" w:color="auto"/>
            <w:right w:val="none" w:sz="0" w:space="0" w:color="auto"/>
          </w:divBdr>
        </w:div>
        <w:div w:id="361174484">
          <w:marLeft w:val="230"/>
          <w:marRight w:val="0"/>
          <w:marTop w:val="0"/>
          <w:marBottom w:val="0"/>
          <w:divBdr>
            <w:top w:val="none" w:sz="0" w:space="0" w:color="auto"/>
            <w:left w:val="none" w:sz="0" w:space="0" w:color="auto"/>
            <w:bottom w:val="none" w:sz="0" w:space="0" w:color="auto"/>
            <w:right w:val="none" w:sz="0" w:space="0" w:color="auto"/>
          </w:divBdr>
        </w:div>
        <w:div w:id="366806589">
          <w:marLeft w:val="0"/>
          <w:marRight w:val="0"/>
          <w:marTop w:val="0"/>
          <w:marBottom w:val="0"/>
          <w:divBdr>
            <w:top w:val="none" w:sz="0" w:space="0" w:color="auto"/>
            <w:left w:val="none" w:sz="0" w:space="0" w:color="auto"/>
            <w:bottom w:val="none" w:sz="0" w:space="0" w:color="auto"/>
            <w:right w:val="none" w:sz="0" w:space="0" w:color="auto"/>
          </w:divBdr>
        </w:div>
        <w:div w:id="375009809">
          <w:marLeft w:val="230"/>
          <w:marRight w:val="0"/>
          <w:marTop w:val="0"/>
          <w:marBottom w:val="0"/>
          <w:divBdr>
            <w:top w:val="none" w:sz="0" w:space="0" w:color="auto"/>
            <w:left w:val="none" w:sz="0" w:space="0" w:color="auto"/>
            <w:bottom w:val="none" w:sz="0" w:space="0" w:color="auto"/>
            <w:right w:val="none" w:sz="0" w:space="0" w:color="auto"/>
          </w:divBdr>
        </w:div>
        <w:div w:id="404494017">
          <w:marLeft w:val="230"/>
          <w:marRight w:val="0"/>
          <w:marTop w:val="0"/>
          <w:marBottom w:val="0"/>
          <w:divBdr>
            <w:top w:val="none" w:sz="0" w:space="0" w:color="auto"/>
            <w:left w:val="none" w:sz="0" w:space="0" w:color="auto"/>
            <w:bottom w:val="none" w:sz="0" w:space="0" w:color="auto"/>
            <w:right w:val="none" w:sz="0" w:space="0" w:color="auto"/>
          </w:divBdr>
        </w:div>
        <w:div w:id="486896333">
          <w:marLeft w:val="920"/>
          <w:marRight w:val="0"/>
          <w:marTop w:val="0"/>
          <w:marBottom w:val="0"/>
          <w:divBdr>
            <w:top w:val="none" w:sz="0" w:space="0" w:color="auto"/>
            <w:left w:val="none" w:sz="0" w:space="0" w:color="auto"/>
            <w:bottom w:val="none" w:sz="0" w:space="0" w:color="auto"/>
            <w:right w:val="none" w:sz="0" w:space="0" w:color="auto"/>
          </w:divBdr>
        </w:div>
        <w:div w:id="494538251">
          <w:marLeft w:val="230"/>
          <w:marRight w:val="0"/>
          <w:marTop w:val="0"/>
          <w:marBottom w:val="0"/>
          <w:divBdr>
            <w:top w:val="none" w:sz="0" w:space="0" w:color="auto"/>
            <w:left w:val="none" w:sz="0" w:space="0" w:color="auto"/>
            <w:bottom w:val="none" w:sz="0" w:space="0" w:color="auto"/>
            <w:right w:val="none" w:sz="0" w:space="0" w:color="auto"/>
          </w:divBdr>
        </w:div>
        <w:div w:id="524556995">
          <w:marLeft w:val="230"/>
          <w:marRight w:val="0"/>
          <w:marTop w:val="0"/>
          <w:marBottom w:val="0"/>
          <w:divBdr>
            <w:top w:val="none" w:sz="0" w:space="0" w:color="auto"/>
            <w:left w:val="none" w:sz="0" w:space="0" w:color="auto"/>
            <w:bottom w:val="none" w:sz="0" w:space="0" w:color="auto"/>
            <w:right w:val="none" w:sz="0" w:space="0" w:color="auto"/>
          </w:divBdr>
        </w:div>
        <w:div w:id="534344785">
          <w:marLeft w:val="46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610865427">
          <w:marLeft w:val="920"/>
          <w:marRight w:val="0"/>
          <w:marTop w:val="0"/>
          <w:marBottom w:val="0"/>
          <w:divBdr>
            <w:top w:val="none" w:sz="0" w:space="0" w:color="auto"/>
            <w:left w:val="none" w:sz="0" w:space="0" w:color="auto"/>
            <w:bottom w:val="none" w:sz="0" w:space="0" w:color="auto"/>
            <w:right w:val="none" w:sz="0" w:space="0" w:color="auto"/>
          </w:divBdr>
        </w:div>
        <w:div w:id="700672344">
          <w:marLeft w:val="230"/>
          <w:marRight w:val="0"/>
          <w:marTop w:val="0"/>
          <w:marBottom w:val="0"/>
          <w:divBdr>
            <w:top w:val="none" w:sz="0" w:space="0" w:color="auto"/>
            <w:left w:val="none" w:sz="0" w:space="0" w:color="auto"/>
            <w:bottom w:val="none" w:sz="0" w:space="0" w:color="auto"/>
            <w:right w:val="none" w:sz="0" w:space="0" w:color="auto"/>
          </w:divBdr>
        </w:div>
        <w:div w:id="730350249">
          <w:marLeft w:val="230"/>
          <w:marRight w:val="0"/>
          <w:marTop w:val="0"/>
          <w:marBottom w:val="0"/>
          <w:divBdr>
            <w:top w:val="none" w:sz="0" w:space="0" w:color="auto"/>
            <w:left w:val="none" w:sz="0" w:space="0" w:color="auto"/>
            <w:bottom w:val="none" w:sz="0" w:space="0" w:color="auto"/>
            <w:right w:val="none" w:sz="0" w:space="0" w:color="auto"/>
          </w:divBdr>
        </w:div>
        <w:div w:id="1002388523">
          <w:marLeft w:val="0"/>
          <w:marRight w:val="0"/>
          <w:marTop w:val="0"/>
          <w:marBottom w:val="0"/>
          <w:divBdr>
            <w:top w:val="none" w:sz="0" w:space="0" w:color="auto"/>
            <w:left w:val="none" w:sz="0" w:space="0" w:color="auto"/>
            <w:bottom w:val="none" w:sz="0" w:space="0" w:color="auto"/>
            <w:right w:val="none" w:sz="0" w:space="0" w:color="auto"/>
          </w:divBdr>
        </w:div>
        <w:div w:id="1091924650">
          <w:marLeft w:val="0"/>
          <w:marRight w:val="0"/>
          <w:marTop w:val="0"/>
          <w:marBottom w:val="0"/>
          <w:divBdr>
            <w:top w:val="none" w:sz="0" w:space="0" w:color="auto"/>
            <w:left w:val="none" w:sz="0" w:space="0" w:color="auto"/>
            <w:bottom w:val="none" w:sz="0" w:space="0" w:color="auto"/>
            <w:right w:val="none" w:sz="0" w:space="0" w:color="auto"/>
          </w:divBdr>
        </w:div>
        <w:div w:id="1093627365">
          <w:marLeft w:val="690"/>
          <w:marRight w:val="0"/>
          <w:marTop w:val="0"/>
          <w:marBottom w:val="0"/>
          <w:divBdr>
            <w:top w:val="none" w:sz="0" w:space="0" w:color="auto"/>
            <w:left w:val="none" w:sz="0" w:space="0" w:color="auto"/>
            <w:bottom w:val="none" w:sz="0" w:space="0" w:color="auto"/>
            <w:right w:val="none" w:sz="0" w:space="0" w:color="auto"/>
          </w:divBdr>
        </w:div>
        <w:div w:id="1098216395">
          <w:marLeft w:val="230"/>
          <w:marRight w:val="0"/>
          <w:marTop w:val="0"/>
          <w:marBottom w:val="0"/>
          <w:divBdr>
            <w:top w:val="none" w:sz="0" w:space="0" w:color="auto"/>
            <w:left w:val="none" w:sz="0" w:space="0" w:color="auto"/>
            <w:bottom w:val="none" w:sz="0" w:space="0" w:color="auto"/>
            <w:right w:val="none" w:sz="0" w:space="0" w:color="auto"/>
          </w:divBdr>
        </w:div>
        <w:div w:id="1098480887">
          <w:marLeft w:val="0"/>
          <w:marRight w:val="0"/>
          <w:marTop w:val="0"/>
          <w:marBottom w:val="0"/>
          <w:divBdr>
            <w:top w:val="none" w:sz="0" w:space="0" w:color="auto"/>
            <w:left w:val="none" w:sz="0" w:space="0" w:color="auto"/>
            <w:bottom w:val="none" w:sz="0" w:space="0" w:color="auto"/>
            <w:right w:val="none" w:sz="0" w:space="0" w:color="auto"/>
          </w:divBdr>
        </w:div>
        <w:div w:id="1147211644">
          <w:marLeft w:val="230"/>
          <w:marRight w:val="0"/>
          <w:marTop w:val="0"/>
          <w:marBottom w:val="0"/>
          <w:divBdr>
            <w:top w:val="none" w:sz="0" w:space="0" w:color="auto"/>
            <w:left w:val="none" w:sz="0" w:space="0" w:color="auto"/>
            <w:bottom w:val="none" w:sz="0" w:space="0" w:color="auto"/>
            <w:right w:val="none" w:sz="0" w:space="0" w:color="auto"/>
          </w:divBdr>
        </w:div>
        <w:div w:id="1177697726">
          <w:marLeft w:val="230"/>
          <w:marRight w:val="0"/>
          <w:marTop w:val="0"/>
          <w:marBottom w:val="0"/>
          <w:divBdr>
            <w:top w:val="none" w:sz="0" w:space="0" w:color="auto"/>
            <w:left w:val="none" w:sz="0" w:space="0" w:color="auto"/>
            <w:bottom w:val="none" w:sz="0" w:space="0" w:color="auto"/>
            <w:right w:val="none" w:sz="0" w:space="0" w:color="auto"/>
          </w:divBdr>
        </w:div>
        <w:div w:id="1261135348">
          <w:marLeft w:val="690"/>
          <w:marRight w:val="0"/>
          <w:marTop w:val="0"/>
          <w:marBottom w:val="0"/>
          <w:divBdr>
            <w:top w:val="none" w:sz="0" w:space="0" w:color="auto"/>
            <w:left w:val="none" w:sz="0" w:space="0" w:color="auto"/>
            <w:bottom w:val="none" w:sz="0" w:space="0" w:color="auto"/>
            <w:right w:val="none" w:sz="0" w:space="0" w:color="auto"/>
          </w:divBdr>
        </w:div>
        <w:div w:id="1280062726">
          <w:marLeft w:val="230"/>
          <w:marRight w:val="0"/>
          <w:marTop w:val="0"/>
          <w:marBottom w:val="0"/>
          <w:divBdr>
            <w:top w:val="none" w:sz="0" w:space="0" w:color="auto"/>
            <w:left w:val="none" w:sz="0" w:space="0" w:color="auto"/>
            <w:bottom w:val="none" w:sz="0" w:space="0" w:color="auto"/>
            <w:right w:val="none" w:sz="0" w:space="0" w:color="auto"/>
          </w:divBdr>
        </w:div>
        <w:div w:id="1307592453">
          <w:marLeft w:val="230"/>
          <w:marRight w:val="0"/>
          <w:marTop w:val="0"/>
          <w:marBottom w:val="0"/>
          <w:divBdr>
            <w:top w:val="none" w:sz="0" w:space="0" w:color="auto"/>
            <w:left w:val="none" w:sz="0" w:space="0" w:color="auto"/>
            <w:bottom w:val="none" w:sz="0" w:space="0" w:color="auto"/>
            <w:right w:val="none" w:sz="0" w:space="0" w:color="auto"/>
          </w:divBdr>
        </w:div>
        <w:div w:id="1312099346">
          <w:marLeft w:val="920"/>
          <w:marRight w:val="0"/>
          <w:marTop w:val="0"/>
          <w:marBottom w:val="0"/>
          <w:divBdr>
            <w:top w:val="none" w:sz="0" w:space="0" w:color="auto"/>
            <w:left w:val="none" w:sz="0" w:space="0" w:color="auto"/>
            <w:bottom w:val="none" w:sz="0" w:space="0" w:color="auto"/>
            <w:right w:val="none" w:sz="0" w:space="0" w:color="auto"/>
          </w:divBdr>
        </w:div>
        <w:div w:id="1327706294">
          <w:marLeft w:val="0"/>
          <w:marRight w:val="0"/>
          <w:marTop w:val="0"/>
          <w:marBottom w:val="0"/>
          <w:divBdr>
            <w:top w:val="none" w:sz="0" w:space="0" w:color="auto"/>
            <w:left w:val="none" w:sz="0" w:space="0" w:color="auto"/>
            <w:bottom w:val="none" w:sz="0" w:space="0" w:color="auto"/>
            <w:right w:val="none" w:sz="0" w:space="0" w:color="auto"/>
          </w:divBdr>
        </w:div>
        <w:div w:id="1336761343">
          <w:marLeft w:val="0"/>
          <w:marRight w:val="0"/>
          <w:marTop w:val="0"/>
          <w:marBottom w:val="0"/>
          <w:divBdr>
            <w:top w:val="none" w:sz="0" w:space="0" w:color="auto"/>
            <w:left w:val="none" w:sz="0" w:space="0" w:color="auto"/>
            <w:bottom w:val="none" w:sz="0" w:space="0" w:color="auto"/>
            <w:right w:val="none" w:sz="0" w:space="0" w:color="auto"/>
          </w:divBdr>
        </w:div>
        <w:div w:id="1344818873">
          <w:marLeft w:val="0"/>
          <w:marRight w:val="0"/>
          <w:marTop w:val="0"/>
          <w:marBottom w:val="0"/>
          <w:divBdr>
            <w:top w:val="none" w:sz="0" w:space="0" w:color="auto"/>
            <w:left w:val="none" w:sz="0" w:space="0" w:color="auto"/>
            <w:bottom w:val="none" w:sz="0" w:space="0" w:color="auto"/>
            <w:right w:val="none" w:sz="0" w:space="0" w:color="auto"/>
          </w:divBdr>
        </w:div>
        <w:div w:id="1346518811">
          <w:marLeft w:val="920"/>
          <w:marRight w:val="0"/>
          <w:marTop w:val="0"/>
          <w:marBottom w:val="0"/>
          <w:divBdr>
            <w:top w:val="none" w:sz="0" w:space="0" w:color="auto"/>
            <w:left w:val="none" w:sz="0" w:space="0" w:color="auto"/>
            <w:bottom w:val="none" w:sz="0" w:space="0" w:color="auto"/>
            <w:right w:val="none" w:sz="0" w:space="0" w:color="auto"/>
          </w:divBdr>
        </w:div>
        <w:div w:id="1362239206">
          <w:marLeft w:val="230"/>
          <w:marRight w:val="0"/>
          <w:marTop w:val="0"/>
          <w:marBottom w:val="0"/>
          <w:divBdr>
            <w:top w:val="none" w:sz="0" w:space="0" w:color="auto"/>
            <w:left w:val="none" w:sz="0" w:space="0" w:color="auto"/>
            <w:bottom w:val="none" w:sz="0" w:space="0" w:color="auto"/>
            <w:right w:val="none" w:sz="0" w:space="0" w:color="auto"/>
          </w:divBdr>
        </w:div>
        <w:div w:id="1472480093">
          <w:marLeft w:val="230"/>
          <w:marRight w:val="0"/>
          <w:marTop w:val="0"/>
          <w:marBottom w:val="0"/>
          <w:divBdr>
            <w:top w:val="none" w:sz="0" w:space="0" w:color="auto"/>
            <w:left w:val="none" w:sz="0" w:space="0" w:color="auto"/>
            <w:bottom w:val="none" w:sz="0" w:space="0" w:color="auto"/>
            <w:right w:val="none" w:sz="0" w:space="0" w:color="auto"/>
          </w:divBdr>
        </w:div>
        <w:div w:id="1580367721">
          <w:marLeft w:val="230"/>
          <w:marRight w:val="0"/>
          <w:marTop w:val="0"/>
          <w:marBottom w:val="0"/>
          <w:divBdr>
            <w:top w:val="none" w:sz="0" w:space="0" w:color="auto"/>
            <w:left w:val="none" w:sz="0" w:space="0" w:color="auto"/>
            <w:bottom w:val="none" w:sz="0" w:space="0" w:color="auto"/>
            <w:right w:val="none" w:sz="0" w:space="0" w:color="auto"/>
          </w:divBdr>
        </w:div>
        <w:div w:id="1580676439">
          <w:marLeft w:val="460"/>
          <w:marRight w:val="0"/>
          <w:marTop w:val="0"/>
          <w:marBottom w:val="0"/>
          <w:divBdr>
            <w:top w:val="none" w:sz="0" w:space="0" w:color="auto"/>
            <w:left w:val="none" w:sz="0" w:space="0" w:color="auto"/>
            <w:bottom w:val="none" w:sz="0" w:space="0" w:color="auto"/>
            <w:right w:val="none" w:sz="0" w:space="0" w:color="auto"/>
          </w:divBdr>
        </w:div>
        <w:div w:id="1609853530">
          <w:marLeft w:val="0"/>
          <w:marRight w:val="0"/>
          <w:marTop w:val="0"/>
          <w:marBottom w:val="0"/>
          <w:divBdr>
            <w:top w:val="none" w:sz="0" w:space="0" w:color="auto"/>
            <w:left w:val="none" w:sz="0" w:space="0" w:color="auto"/>
            <w:bottom w:val="none" w:sz="0" w:space="0" w:color="auto"/>
            <w:right w:val="none" w:sz="0" w:space="0" w:color="auto"/>
          </w:divBdr>
        </w:div>
        <w:div w:id="1714957782">
          <w:marLeft w:val="920"/>
          <w:marRight w:val="0"/>
          <w:marTop w:val="0"/>
          <w:marBottom w:val="0"/>
          <w:divBdr>
            <w:top w:val="none" w:sz="0" w:space="0" w:color="auto"/>
            <w:left w:val="none" w:sz="0" w:space="0" w:color="auto"/>
            <w:bottom w:val="none" w:sz="0" w:space="0" w:color="auto"/>
            <w:right w:val="none" w:sz="0" w:space="0" w:color="auto"/>
          </w:divBdr>
        </w:div>
        <w:div w:id="1725374049">
          <w:marLeft w:val="0"/>
          <w:marRight w:val="0"/>
          <w:marTop w:val="0"/>
          <w:marBottom w:val="0"/>
          <w:divBdr>
            <w:top w:val="none" w:sz="0" w:space="0" w:color="auto"/>
            <w:left w:val="none" w:sz="0" w:space="0" w:color="auto"/>
            <w:bottom w:val="none" w:sz="0" w:space="0" w:color="auto"/>
            <w:right w:val="none" w:sz="0" w:space="0" w:color="auto"/>
          </w:divBdr>
        </w:div>
        <w:div w:id="1752696137">
          <w:marLeft w:val="230"/>
          <w:marRight w:val="0"/>
          <w:marTop w:val="0"/>
          <w:marBottom w:val="0"/>
          <w:divBdr>
            <w:top w:val="none" w:sz="0" w:space="0" w:color="auto"/>
            <w:left w:val="none" w:sz="0" w:space="0" w:color="auto"/>
            <w:bottom w:val="none" w:sz="0" w:space="0" w:color="auto"/>
            <w:right w:val="none" w:sz="0" w:space="0" w:color="auto"/>
          </w:divBdr>
        </w:div>
        <w:div w:id="1755130299">
          <w:marLeft w:val="0"/>
          <w:marRight w:val="0"/>
          <w:marTop w:val="0"/>
          <w:marBottom w:val="0"/>
          <w:divBdr>
            <w:top w:val="none" w:sz="0" w:space="0" w:color="auto"/>
            <w:left w:val="none" w:sz="0" w:space="0" w:color="auto"/>
            <w:bottom w:val="none" w:sz="0" w:space="0" w:color="auto"/>
            <w:right w:val="none" w:sz="0" w:space="0" w:color="auto"/>
          </w:divBdr>
        </w:div>
        <w:div w:id="1844662831">
          <w:marLeft w:val="460"/>
          <w:marRight w:val="0"/>
          <w:marTop w:val="0"/>
          <w:marBottom w:val="0"/>
          <w:divBdr>
            <w:top w:val="none" w:sz="0" w:space="0" w:color="auto"/>
            <w:left w:val="none" w:sz="0" w:space="0" w:color="auto"/>
            <w:bottom w:val="none" w:sz="0" w:space="0" w:color="auto"/>
            <w:right w:val="none" w:sz="0" w:space="0" w:color="auto"/>
          </w:divBdr>
        </w:div>
        <w:div w:id="1857695283">
          <w:marLeft w:val="0"/>
          <w:marRight w:val="0"/>
          <w:marTop w:val="0"/>
          <w:marBottom w:val="0"/>
          <w:divBdr>
            <w:top w:val="none" w:sz="0" w:space="0" w:color="auto"/>
            <w:left w:val="none" w:sz="0" w:space="0" w:color="auto"/>
            <w:bottom w:val="none" w:sz="0" w:space="0" w:color="auto"/>
            <w:right w:val="none" w:sz="0" w:space="0" w:color="auto"/>
          </w:divBdr>
        </w:div>
        <w:div w:id="1866092882">
          <w:marLeft w:val="460"/>
          <w:marRight w:val="0"/>
          <w:marTop w:val="0"/>
          <w:marBottom w:val="0"/>
          <w:divBdr>
            <w:top w:val="none" w:sz="0" w:space="0" w:color="auto"/>
            <w:left w:val="none" w:sz="0" w:space="0" w:color="auto"/>
            <w:bottom w:val="none" w:sz="0" w:space="0" w:color="auto"/>
            <w:right w:val="none" w:sz="0" w:space="0" w:color="auto"/>
          </w:divBdr>
        </w:div>
        <w:div w:id="1879003092">
          <w:marLeft w:val="920"/>
          <w:marRight w:val="0"/>
          <w:marTop w:val="0"/>
          <w:marBottom w:val="0"/>
          <w:divBdr>
            <w:top w:val="none" w:sz="0" w:space="0" w:color="auto"/>
            <w:left w:val="none" w:sz="0" w:space="0" w:color="auto"/>
            <w:bottom w:val="none" w:sz="0" w:space="0" w:color="auto"/>
            <w:right w:val="none" w:sz="0" w:space="0" w:color="auto"/>
          </w:divBdr>
        </w:div>
        <w:div w:id="1952777482">
          <w:marLeft w:val="0"/>
          <w:marRight w:val="0"/>
          <w:marTop w:val="0"/>
          <w:marBottom w:val="0"/>
          <w:divBdr>
            <w:top w:val="none" w:sz="0" w:space="0" w:color="auto"/>
            <w:left w:val="none" w:sz="0" w:space="0" w:color="auto"/>
            <w:bottom w:val="none" w:sz="0" w:space="0" w:color="auto"/>
            <w:right w:val="none" w:sz="0" w:space="0" w:color="auto"/>
          </w:divBdr>
        </w:div>
        <w:div w:id="2030443347">
          <w:marLeft w:val="0"/>
          <w:marRight w:val="0"/>
          <w:marTop w:val="0"/>
          <w:marBottom w:val="0"/>
          <w:divBdr>
            <w:top w:val="none" w:sz="0" w:space="0" w:color="auto"/>
            <w:left w:val="none" w:sz="0" w:space="0" w:color="auto"/>
            <w:bottom w:val="none" w:sz="0" w:space="0" w:color="auto"/>
            <w:right w:val="none" w:sz="0" w:space="0" w:color="auto"/>
          </w:divBdr>
        </w:div>
        <w:div w:id="2066181276">
          <w:marLeft w:val="460"/>
          <w:marRight w:val="0"/>
          <w:marTop w:val="0"/>
          <w:marBottom w:val="0"/>
          <w:divBdr>
            <w:top w:val="none" w:sz="0" w:space="0" w:color="auto"/>
            <w:left w:val="none" w:sz="0" w:space="0" w:color="auto"/>
            <w:bottom w:val="none" w:sz="0" w:space="0" w:color="auto"/>
            <w:right w:val="none" w:sz="0" w:space="0" w:color="auto"/>
          </w:divBdr>
        </w:div>
        <w:div w:id="2095930327">
          <w:marLeft w:val="230"/>
          <w:marRight w:val="0"/>
          <w:marTop w:val="0"/>
          <w:marBottom w:val="0"/>
          <w:divBdr>
            <w:top w:val="none" w:sz="0" w:space="0" w:color="auto"/>
            <w:left w:val="none" w:sz="0" w:space="0" w:color="auto"/>
            <w:bottom w:val="none" w:sz="0" w:space="0" w:color="auto"/>
            <w:right w:val="none" w:sz="0" w:space="0" w:color="auto"/>
          </w:divBdr>
        </w:div>
        <w:div w:id="2101370291">
          <w:marLeft w:val="230"/>
          <w:marRight w:val="0"/>
          <w:marTop w:val="0"/>
          <w:marBottom w:val="0"/>
          <w:divBdr>
            <w:top w:val="none" w:sz="0" w:space="0" w:color="auto"/>
            <w:left w:val="none" w:sz="0" w:space="0" w:color="auto"/>
            <w:bottom w:val="none" w:sz="0" w:space="0" w:color="auto"/>
            <w:right w:val="none" w:sz="0" w:space="0" w:color="auto"/>
          </w:divBdr>
        </w:div>
        <w:div w:id="2101482176">
          <w:marLeft w:val="230"/>
          <w:marRight w:val="0"/>
          <w:marTop w:val="0"/>
          <w:marBottom w:val="0"/>
          <w:divBdr>
            <w:top w:val="none" w:sz="0" w:space="0" w:color="auto"/>
            <w:left w:val="none" w:sz="0" w:space="0" w:color="auto"/>
            <w:bottom w:val="none" w:sz="0" w:space="0" w:color="auto"/>
            <w:right w:val="none" w:sz="0" w:space="0" w:color="auto"/>
          </w:divBdr>
        </w:div>
      </w:divsChild>
    </w:div>
    <w:div w:id="18737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1170-4D39-4E39-B05D-72A53A0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埼玉西部消防組合職員の給与等に関する条例</vt:lpstr>
      <vt:lpstr>　　　埼玉西部消防組合職員の給与等に関する条例</vt:lpstr>
    </vt:vector>
  </TitlesOfParts>
  <Company>第一法規株式会社</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埼玉西部消防組合職員の給与等に関する条例</dc:title>
  <cp:lastModifiedBy> </cp:lastModifiedBy>
  <cp:revision>85</cp:revision>
  <cp:lastPrinted>2018-11-13T04:09:00Z</cp:lastPrinted>
  <dcterms:created xsi:type="dcterms:W3CDTF">2013-10-18T08:49:00Z</dcterms:created>
  <dcterms:modified xsi:type="dcterms:W3CDTF">2019-03-29T04:18:00Z</dcterms:modified>
</cp:coreProperties>
</file>